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94B56" w14:textId="367A83A4" w:rsidR="00FC1CAB" w:rsidRPr="00742C01" w:rsidRDefault="00FC1CAB" w:rsidP="00455404">
      <w:pPr>
        <w:spacing w:line="360" w:lineRule="auto"/>
        <w:jc w:val="center"/>
        <w:rPr>
          <w:b/>
          <w:bCs/>
          <w:sz w:val="76"/>
          <w:szCs w:val="76"/>
        </w:rPr>
      </w:pPr>
    </w:p>
    <w:p w14:paraId="62CD6567" w14:textId="6D3709F4" w:rsidR="4A27F6FD" w:rsidRPr="00742C01" w:rsidRDefault="4A27F6FD" w:rsidP="005D2EA3">
      <w:pPr>
        <w:spacing w:line="240" w:lineRule="auto"/>
        <w:jc w:val="center"/>
        <w:rPr>
          <w:b/>
          <w:bCs/>
          <w:sz w:val="80"/>
          <w:szCs w:val="80"/>
        </w:rPr>
      </w:pPr>
      <w:r w:rsidRPr="00742C01">
        <w:rPr>
          <w:b/>
          <w:bCs/>
          <w:sz w:val="80"/>
          <w:szCs w:val="80"/>
        </w:rPr>
        <w:t>“My genetic legacy is more important than your feelings”: An investigation into how manosphere views on gender roles are presented</w:t>
      </w:r>
    </w:p>
    <w:p w14:paraId="34C41B46" w14:textId="2CCE8902" w:rsidR="1ABABFF0" w:rsidRPr="00742C01" w:rsidRDefault="1ABABFF0" w:rsidP="005D2EA3">
      <w:pPr>
        <w:spacing w:line="240" w:lineRule="auto"/>
        <w:jc w:val="center"/>
        <w:rPr>
          <w:b/>
          <w:bCs/>
          <w:sz w:val="72"/>
          <w:szCs w:val="72"/>
        </w:rPr>
      </w:pPr>
    </w:p>
    <w:p w14:paraId="565C2B9D" w14:textId="23E9F1F2" w:rsidR="0D4155C1" w:rsidRPr="00742C01" w:rsidRDefault="0D4155C1" w:rsidP="005D2EA3">
      <w:pPr>
        <w:spacing w:line="240" w:lineRule="auto"/>
        <w:jc w:val="center"/>
        <w:rPr>
          <w:sz w:val="68"/>
          <w:szCs w:val="68"/>
        </w:rPr>
      </w:pPr>
      <w:r w:rsidRPr="00742C01">
        <w:rPr>
          <w:sz w:val="68"/>
          <w:szCs w:val="68"/>
        </w:rPr>
        <w:t>Hannah Wolstenholme</w:t>
      </w:r>
    </w:p>
    <w:p w14:paraId="4CBE76A3" w14:textId="12439D27" w:rsidR="5744734D" w:rsidRPr="00742C01" w:rsidRDefault="5744734D" w:rsidP="005D2EA3">
      <w:pPr>
        <w:spacing w:line="240" w:lineRule="auto"/>
        <w:jc w:val="center"/>
        <w:rPr>
          <w:sz w:val="68"/>
          <w:szCs w:val="68"/>
        </w:rPr>
      </w:pPr>
    </w:p>
    <w:p w14:paraId="30DD9D16" w14:textId="7BE5E227" w:rsidR="00942868" w:rsidRPr="00742C01" w:rsidRDefault="00942868" w:rsidP="005D2EA3">
      <w:pPr>
        <w:spacing w:line="240" w:lineRule="auto"/>
        <w:jc w:val="center"/>
        <w:rPr>
          <w:sz w:val="68"/>
          <w:szCs w:val="68"/>
        </w:rPr>
      </w:pPr>
      <w:r w:rsidRPr="00742C01">
        <w:rPr>
          <w:sz w:val="68"/>
          <w:szCs w:val="68"/>
        </w:rPr>
        <w:t>2026</w:t>
      </w:r>
    </w:p>
    <w:p w14:paraId="3FE88C30" w14:textId="77777777" w:rsidR="00867CBD" w:rsidRPr="00742C01" w:rsidRDefault="00867CBD" w:rsidP="00455404">
      <w:pPr>
        <w:spacing w:line="360" w:lineRule="auto"/>
        <w:rPr>
          <w:color w:val="333333"/>
          <w:sz w:val="68"/>
          <w:szCs w:val="68"/>
        </w:rPr>
      </w:pPr>
    </w:p>
    <w:p w14:paraId="34276522" w14:textId="77777777" w:rsidR="00B97E55" w:rsidRPr="00742C01" w:rsidRDefault="00B97E55" w:rsidP="00455404">
      <w:pPr>
        <w:spacing w:line="360" w:lineRule="auto"/>
        <w:rPr>
          <w:color w:val="333333"/>
          <w:sz w:val="22"/>
          <w:szCs w:val="22"/>
        </w:rPr>
      </w:pPr>
    </w:p>
    <w:p w14:paraId="100642E5" w14:textId="6A5D5D18" w:rsidR="3478205A" w:rsidRPr="00742C01" w:rsidRDefault="49ADA4A4" w:rsidP="00455404">
      <w:pPr>
        <w:spacing w:line="360" w:lineRule="auto"/>
        <w:rPr>
          <w:b/>
          <w:color w:val="333333"/>
          <w:sz w:val="36"/>
          <w:szCs w:val="36"/>
        </w:rPr>
      </w:pPr>
      <w:r w:rsidRPr="00742C01">
        <w:rPr>
          <w:b/>
          <w:bCs/>
          <w:color w:val="333333"/>
          <w:sz w:val="36"/>
          <w:szCs w:val="36"/>
        </w:rPr>
        <w:lastRenderedPageBreak/>
        <w:t>Abstract</w:t>
      </w:r>
    </w:p>
    <w:p w14:paraId="77E50E33" w14:textId="540FBA0B" w:rsidR="03AFA85A" w:rsidRPr="00742C01" w:rsidRDefault="03AFA85A" w:rsidP="00455404">
      <w:pPr>
        <w:spacing w:line="360" w:lineRule="auto"/>
        <w:ind w:firstLine="720"/>
        <w:jc w:val="both"/>
      </w:pPr>
      <w:r w:rsidRPr="00742C01">
        <w:t xml:space="preserve">This dissertation explores how manosphere ideologies surrounding gender roles are presented in the television programme </w:t>
      </w:r>
      <w:r w:rsidRPr="00742C01">
        <w:rPr>
          <w:i/>
        </w:rPr>
        <w:t>Adolescence</w:t>
      </w:r>
      <w:r w:rsidRPr="00742C01">
        <w:t xml:space="preserve"> and a podcast </w:t>
      </w:r>
      <w:r w:rsidR="00B52C47" w:rsidRPr="00742C01">
        <w:t>with</w:t>
      </w:r>
      <w:r w:rsidRPr="00742C01">
        <w:t xml:space="preserve"> Andrew Tate. The manosphere ha</w:t>
      </w:r>
      <w:r w:rsidR="00F374F5" w:rsidRPr="00742C01">
        <w:t>s</w:t>
      </w:r>
      <w:r w:rsidRPr="00742C01">
        <w:t xml:space="preserve"> attracted scholarly and public concern due to the amplification of misogynistic and anti-feminist discourse across digital platforms, particularly among young audiences. Existing literature suggests manosphere ideologies are shaped by hegemonic masculinity, masculinism, aggrieved entitlement, and hybrid masculinity, often positioning men as victims of feminism and changing gender </w:t>
      </w:r>
      <w:r w:rsidR="26897603" w:rsidRPr="00742C01">
        <w:t>roles</w:t>
      </w:r>
      <w:r w:rsidRPr="00742C01">
        <w:t>. This study contributes to research by examining both fictional and non-fictional representations of manosphere discourse and addressing a gap in literature surrounding representations of women’s gender roles.</w:t>
      </w:r>
      <w:r w:rsidR="58B3F51D" w:rsidRPr="00742C01">
        <w:t xml:space="preserve"> </w:t>
      </w:r>
      <w:r w:rsidR="6E3CE1EB" w:rsidRPr="00742C01">
        <w:t>D</w:t>
      </w:r>
      <w:r w:rsidRPr="00742C01">
        <w:t xml:space="preserve">iscourse analysis was conducted using two </w:t>
      </w:r>
      <w:r w:rsidR="58711462" w:rsidRPr="00742C01">
        <w:t>sets of data</w:t>
      </w:r>
      <w:r w:rsidRPr="00742C01">
        <w:t xml:space="preserve">: an extract from episode three of </w:t>
      </w:r>
      <w:r w:rsidRPr="00742C01">
        <w:rPr>
          <w:i/>
        </w:rPr>
        <w:t>Adolescence</w:t>
      </w:r>
      <w:r w:rsidRPr="00742C01">
        <w:t xml:space="preserve"> and a</w:t>
      </w:r>
      <w:r w:rsidR="2BD4B720" w:rsidRPr="00742C01">
        <w:t>n</w:t>
      </w:r>
      <w:r w:rsidRPr="00742C01">
        <w:t xml:space="preserve"> </w:t>
      </w:r>
      <w:r w:rsidR="2BD4B720" w:rsidRPr="00742C01">
        <w:t>Andrew Tate</w:t>
      </w:r>
      <w:r w:rsidRPr="00742C01">
        <w:t xml:space="preserve"> YouTube podcast. </w:t>
      </w:r>
      <w:r w:rsidR="29E01CAF" w:rsidRPr="00742C01">
        <w:t>T</w:t>
      </w:r>
      <w:r w:rsidRPr="00742C01">
        <w:t>he study explore</w:t>
      </w:r>
      <w:r w:rsidR="672D5672" w:rsidRPr="00742C01">
        <w:t>s</w:t>
      </w:r>
      <w:r w:rsidRPr="00742C01">
        <w:t xml:space="preserve"> how </w:t>
      </w:r>
      <w:r w:rsidR="45E0BD7F" w:rsidRPr="00742C01">
        <w:t>discourse</w:t>
      </w:r>
      <w:r w:rsidRPr="00742C01">
        <w:t xml:space="preserve"> constructs </w:t>
      </w:r>
      <w:r w:rsidR="31BD182A" w:rsidRPr="00742C01">
        <w:t>representations</w:t>
      </w:r>
      <w:r w:rsidRPr="00742C01">
        <w:t xml:space="preserve"> of </w:t>
      </w:r>
      <w:r w:rsidR="1DD26F31" w:rsidRPr="00742C01">
        <w:t xml:space="preserve">gender roles </w:t>
      </w:r>
      <w:r w:rsidRPr="00742C01">
        <w:t>within manosphere ideology.</w:t>
      </w:r>
      <w:r w:rsidR="64FC4F3D" w:rsidRPr="00742C01">
        <w:t xml:space="preserve"> </w:t>
      </w:r>
      <w:r w:rsidRPr="00742C01">
        <w:t>Three themes emerge from the analysis: victimhood, women’s service to men, and a lack of empathy towards women. Findings demonstrate that manosphere representations of gender roles are contradictory</w:t>
      </w:r>
      <w:r w:rsidR="00ED1CEB" w:rsidRPr="00742C01">
        <w:t xml:space="preserve">: </w:t>
      </w:r>
      <w:r w:rsidRPr="00742C01">
        <w:t xml:space="preserve">promoting hegemonic masculinity while positioning men as victims of women and feminism. </w:t>
      </w:r>
      <w:r w:rsidRPr="00742C01">
        <w:rPr>
          <w:i/>
        </w:rPr>
        <w:t>Adolescence</w:t>
      </w:r>
      <w:r w:rsidRPr="00742C01">
        <w:t xml:space="preserve"> </w:t>
      </w:r>
      <w:r w:rsidR="77D1A6AA" w:rsidRPr="00742C01">
        <w:t>suggests</w:t>
      </w:r>
      <w:r w:rsidRPr="00742C01">
        <w:t xml:space="preserve"> </w:t>
      </w:r>
      <w:r w:rsidR="76D25257" w:rsidRPr="00742C01">
        <w:t>that</w:t>
      </w:r>
      <w:r w:rsidRPr="00742C01">
        <w:t xml:space="preserve"> vulnerability, rejection, and</w:t>
      </w:r>
      <w:r w:rsidR="640D2B22" w:rsidRPr="00742C01">
        <w:t xml:space="preserve"> the reactions to</w:t>
      </w:r>
      <w:r w:rsidRPr="00742C01">
        <w:t xml:space="preserve"> perceived</w:t>
      </w:r>
      <w:r w:rsidR="236F5FB6" w:rsidRPr="00742C01">
        <w:t xml:space="preserve"> and actual</w:t>
      </w:r>
      <w:r w:rsidRPr="00742C01">
        <w:t xml:space="preserve"> victimhood can </w:t>
      </w:r>
      <w:r w:rsidR="7D60F097" w:rsidRPr="00742C01">
        <w:t>shape how misogyny is presented</w:t>
      </w:r>
      <w:r w:rsidRPr="00742C01">
        <w:t xml:space="preserve">, </w:t>
      </w:r>
      <w:r w:rsidR="0CCAA965" w:rsidRPr="00742C01">
        <w:t>and</w:t>
      </w:r>
      <w:r w:rsidRPr="00742C01">
        <w:t xml:space="preserve"> Tate’s discourse </w:t>
      </w:r>
      <w:r w:rsidR="31F08EDB" w:rsidRPr="00742C01">
        <w:t>promotes</w:t>
      </w:r>
      <w:r w:rsidRPr="00742C01">
        <w:t xml:space="preserve"> women’s reproductive </w:t>
      </w:r>
      <w:r w:rsidR="25EC92D2" w:rsidRPr="00742C01">
        <w:t>services</w:t>
      </w:r>
      <w:r w:rsidRPr="00742C01">
        <w:t xml:space="preserve"> to men. The findings support theories of hybrid and aggrieved masculinities by demonstrating how victimhood narratives are used to legitimise misogyny and sustain gender hierarchies.</w:t>
      </w:r>
      <w:r w:rsidR="3FEF3066" w:rsidRPr="00742C01">
        <w:t xml:space="preserve"> </w:t>
      </w:r>
      <w:r w:rsidRPr="00742C01">
        <w:t xml:space="preserve">This dissertation highlights the significance of misogynistic online discourse in shaping </w:t>
      </w:r>
      <w:r w:rsidR="319AE36E" w:rsidRPr="00742C01">
        <w:t>presentations of gender roles</w:t>
      </w:r>
      <w:r w:rsidRPr="00742C01">
        <w:t xml:space="preserve"> and calls for further research into the offline impacts of manosphere ideologies on young people</w:t>
      </w:r>
      <w:r w:rsidR="7FAF0F7A" w:rsidRPr="00742C01">
        <w:t xml:space="preserve"> </w:t>
      </w:r>
      <w:r w:rsidRPr="00742C01">
        <w:t>and violence against women.</w:t>
      </w:r>
    </w:p>
    <w:p w14:paraId="57B65C63" w14:textId="559BB2FA" w:rsidR="002122F5" w:rsidRPr="00742C01" w:rsidRDefault="002122F5" w:rsidP="00455404">
      <w:pPr>
        <w:shd w:val="clear" w:color="auto" w:fill="FFFFFF" w:themeFill="background1"/>
        <w:spacing w:after="225" w:line="360" w:lineRule="auto"/>
        <w:rPr>
          <w:color w:val="000000" w:themeColor="text1"/>
        </w:rPr>
      </w:pPr>
    </w:p>
    <w:p w14:paraId="510E63FD" w14:textId="77777777" w:rsidR="003B60E5" w:rsidRPr="00742C01" w:rsidRDefault="003B60E5" w:rsidP="00455404">
      <w:pPr>
        <w:shd w:val="clear" w:color="auto" w:fill="FFFFFF" w:themeFill="background1"/>
        <w:spacing w:after="225" w:line="360" w:lineRule="auto"/>
        <w:rPr>
          <w:color w:val="000000" w:themeColor="text1"/>
        </w:rPr>
      </w:pPr>
    </w:p>
    <w:p w14:paraId="2930C3EB" w14:textId="77777777" w:rsidR="003B60E5" w:rsidRPr="00742C01" w:rsidRDefault="003B60E5" w:rsidP="00455404">
      <w:pPr>
        <w:shd w:val="clear" w:color="auto" w:fill="FFFFFF" w:themeFill="background1"/>
        <w:spacing w:after="225" w:line="360" w:lineRule="auto"/>
        <w:rPr>
          <w:color w:val="000000" w:themeColor="text1"/>
        </w:rPr>
      </w:pPr>
    </w:p>
    <w:p w14:paraId="2919C9FD" w14:textId="2FDAB619" w:rsidR="2A66F3CA" w:rsidRPr="00742C01" w:rsidRDefault="2A66F3CA" w:rsidP="00455404">
      <w:pPr>
        <w:spacing w:line="360" w:lineRule="auto"/>
      </w:pPr>
    </w:p>
    <w:sdt>
      <w:sdtPr>
        <w:rPr>
          <w:rFonts w:asciiTheme="minorHAnsi" w:eastAsiaTheme="minorEastAsia" w:hAnsiTheme="minorHAnsi" w:cstheme="minorBidi"/>
          <w:color w:val="auto"/>
          <w:sz w:val="24"/>
          <w:szCs w:val="24"/>
          <w:lang w:val="en-GB" w:eastAsia="ja-JP"/>
        </w:rPr>
        <w:id w:val="560760683"/>
        <w:docPartObj>
          <w:docPartGallery w:val="Table of Contents"/>
          <w:docPartUnique/>
        </w:docPartObj>
      </w:sdtPr>
      <w:sdtEndPr>
        <w:rPr>
          <w:rFonts w:eastAsiaTheme="minorHAnsi" w:cstheme="minorHAnsi"/>
          <w:lang w:eastAsia="en-GB"/>
        </w:rPr>
      </w:sdtEndPr>
      <w:sdtContent>
        <w:p w14:paraId="7468120B" w14:textId="035FE3E5" w:rsidR="00F30C23" w:rsidRPr="00742C01" w:rsidRDefault="00F30C23" w:rsidP="00455404">
          <w:pPr>
            <w:pStyle w:val="TOCHeading"/>
            <w:spacing w:line="360" w:lineRule="auto"/>
            <w:rPr>
              <w:rFonts w:asciiTheme="minorHAnsi" w:hAnsiTheme="minorHAnsi" w:cstheme="minorHAnsi"/>
              <w:color w:val="auto"/>
            </w:rPr>
          </w:pPr>
          <w:r w:rsidRPr="00742C01">
            <w:rPr>
              <w:rFonts w:asciiTheme="minorHAnsi" w:hAnsiTheme="minorHAnsi" w:cstheme="minorHAnsi"/>
              <w:color w:val="auto"/>
            </w:rPr>
            <w:t>Table of Contents</w:t>
          </w:r>
        </w:p>
        <w:p w14:paraId="14D73ED0" w14:textId="2A0CB5EB" w:rsidR="00F30C23" w:rsidRPr="00742C01" w:rsidRDefault="00F30C23" w:rsidP="00455404">
          <w:pPr>
            <w:pStyle w:val="TOC2"/>
            <w:spacing w:line="360" w:lineRule="auto"/>
            <w:rPr>
              <w:b/>
              <w:bCs/>
            </w:rPr>
          </w:pPr>
          <w:r w:rsidRPr="00742C01">
            <w:fldChar w:fldCharType="begin"/>
          </w:r>
          <w:r w:rsidRPr="00742C01">
            <w:instrText xml:space="preserve"> TOC \o "1-3" \h \z \u </w:instrText>
          </w:r>
          <w:r w:rsidRPr="00742C01">
            <w:fldChar w:fldCharType="separate"/>
          </w:r>
          <w:hyperlink w:anchor="_Toc230801998" w:history="1">
            <w:r w:rsidRPr="00742C01">
              <w:rPr>
                <w:rStyle w:val="Hyperlink"/>
              </w:rPr>
              <w:t>Introduction</w:t>
            </w:r>
            <w:r w:rsidRPr="00742C01">
              <w:rPr>
                <w:webHidden/>
              </w:rPr>
              <w:tab/>
            </w:r>
            <w:r w:rsidRPr="00742C01">
              <w:rPr>
                <w:webHidden/>
              </w:rPr>
              <w:fldChar w:fldCharType="begin"/>
            </w:r>
            <w:r w:rsidRPr="00742C01">
              <w:rPr>
                <w:webHidden/>
              </w:rPr>
              <w:instrText xml:space="preserve"> PAGEREF _Toc230801998 \h </w:instrText>
            </w:r>
            <w:r w:rsidRPr="00742C01">
              <w:rPr>
                <w:webHidden/>
              </w:rPr>
            </w:r>
            <w:r w:rsidRPr="00742C01">
              <w:rPr>
                <w:webHidden/>
              </w:rPr>
              <w:fldChar w:fldCharType="separate"/>
            </w:r>
            <w:r w:rsidR="005D2EA3">
              <w:rPr>
                <w:webHidden/>
              </w:rPr>
              <w:t>1</w:t>
            </w:r>
            <w:r w:rsidRPr="00742C01">
              <w:rPr>
                <w:webHidden/>
              </w:rPr>
              <w:fldChar w:fldCharType="end"/>
            </w:r>
          </w:hyperlink>
        </w:p>
        <w:p w14:paraId="20916AE3" w14:textId="29EA96CE" w:rsidR="00F30C23" w:rsidRPr="00742C01" w:rsidRDefault="00F30C23" w:rsidP="00455404">
          <w:pPr>
            <w:pStyle w:val="TOC2"/>
            <w:spacing w:line="360" w:lineRule="auto"/>
            <w:rPr>
              <w:b/>
              <w:bCs/>
            </w:rPr>
          </w:pPr>
          <w:hyperlink w:anchor="_Toc230801999" w:history="1">
            <w:r w:rsidRPr="00742C01">
              <w:rPr>
                <w:rStyle w:val="Hyperlink"/>
              </w:rPr>
              <w:t>Literature Review</w:t>
            </w:r>
            <w:r w:rsidRPr="00742C01">
              <w:rPr>
                <w:webHidden/>
              </w:rPr>
              <w:tab/>
            </w:r>
            <w:r w:rsidRPr="00742C01">
              <w:rPr>
                <w:webHidden/>
              </w:rPr>
              <w:fldChar w:fldCharType="begin"/>
            </w:r>
            <w:r w:rsidRPr="00742C01">
              <w:rPr>
                <w:webHidden/>
              </w:rPr>
              <w:instrText xml:space="preserve"> PAGEREF _Toc230801999 \h </w:instrText>
            </w:r>
            <w:r w:rsidRPr="00742C01">
              <w:rPr>
                <w:webHidden/>
              </w:rPr>
            </w:r>
            <w:r w:rsidRPr="00742C01">
              <w:rPr>
                <w:webHidden/>
              </w:rPr>
              <w:fldChar w:fldCharType="separate"/>
            </w:r>
            <w:r w:rsidR="005D2EA3">
              <w:rPr>
                <w:webHidden/>
              </w:rPr>
              <w:t>3</w:t>
            </w:r>
            <w:r w:rsidRPr="00742C01">
              <w:rPr>
                <w:webHidden/>
              </w:rPr>
              <w:fldChar w:fldCharType="end"/>
            </w:r>
          </w:hyperlink>
        </w:p>
        <w:p w14:paraId="05BE3839" w14:textId="1073AC10" w:rsidR="00F30C23" w:rsidRPr="00742C01" w:rsidRDefault="00F30C23" w:rsidP="00455404">
          <w:pPr>
            <w:pStyle w:val="TOC2"/>
            <w:spacing w:line="360" w:lineRule="auto"/>
            <w:rPr>
              <w:b/>
              <w:bCs/>
            </w:rPr>
          </w:pPr>
          <w:hyperlink w:anchor="_Toc230802000" w:history="1">
            <w:r w:rsidRPr="00742C01">
              <w:rPr>
                <w:rStyle w:val="Hyperlink"/>
              </w:rPr>
              <w:t>Methods</w:t>
            </w:r>
            <w:r w:rsidRPr="00742C01">
              <w:rPr>
                <w:webHidden/>
              </w:rPr>
              <w:tab/>
            </w:r>
            <w:r w:rsidRPr="00742C01">
              <w:rPr>
                <w:webHidden/>
              </w:rPr>
              <w:fldChar w:fldCharType="begin"/>
            </w:r>
            <w:r w:rsidRPr="00742C01">
              <w:rPr>
                <w:webHidden/>
              </w:rPr>
              <w:instrText xml:space="preserve"> PAGEREF _Toc230802000 \h </w:instrText>
            </w:r>
            <w:r w:rsidRPr="00742C01">
              <w:rPr>
                <w:webHidden/>
              </w:rPr>
            </w:r>
            <w:r w:rsidRPr="00742C01">
              <w:rPr>
                <w:webHidden/>
              </w:rPr>
              <w:fldChar w:fldCharType="separate"/>
            </w:r>
            <w:r w:rsidR="005D2EA3">
              <w:rPr>
                <w:webHidden/>
              </w:rPr>
              <w:t>9</w:t>
            </w:r>
            <w:r w:rsidRPr="00742C01">
              <w:rPr>
                <w:webHidden/>
              </w:rPr>
              <w:fldChar w:fldCharType="end"/>
            </w:r>
          </w:hyperlink>
        </w:p>
        <w:p w14:paraId="6D7F8732" w14:textId="07B1B7A7" w:rsidR="00F30C23" w:rsidRPr="00742C01" w:rsidRDefault="00F30C23" w:rsidP="00455404">
          <w:pPr>
            <w:pStyle w:val="TOC2"/>
            <w:spacing w:line="360" w:lineRule="auto"/>
            <w:rPr>
              <w:b/>
              <w:bCs/>
            </w:rPr>
          </w:pPr>
          <w:hyperlink w:anchor="_Toc230802001" w:history="1">
            <w:r w:rsidRPr="00742C01">
              <w:rPr>
                <w:rStyle w:val="Hyperlink"/>
              </w:rPr>
              <w:t>Findings and Discussion</w:t>
            </w:r>
            <w:r w:rsidRPr="00742C01">
              <w:rPr>
                <w:webHidden/>
              </w:rPr>
              <w:tab/>
            </w:r>
            <w:r w:rsidRPr="00742C01">
              <w:rPr>
                <w:webHidden/>
              </w:rPr>
              <w:fldChar w:fldCharType="begin"/>
            </w:r>
            <w:r w:rsidRPr="00742C01">
              <w:rPr>
                <w:webHidden/>
              </w:rPr>
              <w:instrText xml:space="preserve"> PAGEREF _Toc230802001 \h </w:instrText>
            </w:r>
            <w:r w:rsidRPr="00742C01">
              <w:rPr>
                <w:webHidden/>
              </w:rPr>
            </w:r>
            <w:r w:rsidRPr="00742C01">
              <w:rPr>
                <w:webHidden/>
              </w:rPr>
              <w:fldChar w:fldCharType="separate"/>
            </w:r>
            <w:r w:rsidR="005D2EA3">
              <w:rPr>
                <w:webHidden/>
              </w:rPr>
              <w:t>12</w:t>
            </w:r>
            <w:r w:rsidRPr="00742C01">
              <w:rPr>
                <w:webHidden/>
              </w:rPr>
              <w:fldChar w:fldCharType="end"/>
            </w:r>
          </w:hyperlink>
        </w:p>
        <w:p w14:paraId="5072749C" w14:textId="26814CF0" w:rsidR="00F30C23" w:rsidRPr="00742C01" w:rsidRDefault="00F30C23" w:rsidP="00455404">
          <w:pPr>
            <w:pStyle w:val="TOC3"/>
            <w:tabs>
              <w:tab w:val="right" w:leader="dot" w:pos="9016"/>
            </w:tabs>
            <w:spacing w:line="360" w:lineRule="auto"/>
            <w:rPr>
              <w:noProof/>
            </w:rPr>
          </w:pPr>
          <w:hyperlink w:anchor="_Toc230802002" w:history="1">
            <w:r w:rsidRPr="00742C01">
              <w:rPr>
                <w:rStyle w:val="Hyperlink"/>
                <w:noProof/>
              </w:rPr>
              <w:t>Victimhood</w:t>
            </w:r>
            <w:r w:rsidRPr="00742C01">
              <w:rPr>
                <w:noProof/>
                <w:webHidden/>
              </w:rPr>
              <w:tab/>
            </w:r>
            <w:r w:rsidRPr="00742C01">
              <w:rPr>
                <w:noProof/>
                <w:webHidden/>
              </w:rPr>
              <w:fldChar w:fldCharType="begin"/>
            </w:r>
            <w:r w:rsidRPr="00742C01">
              <w:rPr>
                <w:noProof/>
                <w:webHidden/>
              </w:rPr>
              <w:instrText xml:space="preserve"> PAGEREF _Toc230802002 \h </w:instrText>
            </w:r>
            <w:r w:rsidRPr="00742C01">
              <w:rPr>
                <w:noProof/>
                <w:webHidden/>
              </w:rPr>
            </w:r>
            <w:r w:rsidRPr="00742C01">
              <w:rPr>
                <w:noProof/>
                <w:webHidden/>
              </w:rPr>
              <w:fldChar w:fldCharType="separate"/>
            </w:r>
            <w:r w:rsidR="005D2EA3">
              <w:rPr>
                <w:noProof/>
                <w:webHidden/>
              </w:rPr>
              <w:t>12</w:t>
            </w:r>
            <w:r w:rsidRPr="00742C01">
              <w:rPr>
                <w:noProof/>
                <w:webHidden/>
              </w:rPr>
              <w:fldChar w:fldCharType="end"/>
            </w:r>
          </w:hyperlink>
        </w:p>
        <w:p w14:paraId="51F070CB" w14:textId="33DCF785" w:rsidR="00F30C23" w:rsidRPr="00742C01" w:rsidRDefault="00F30C23" w:rsidP="00455404">
          <w:pPr>
            <w:pStyle w:val="TOC3"/>
            <w:tabs>
              <w:tab w:val="right" w:leader="dot" w:pos="9016"/>
            </w:tabs>
            <w:spacing w:line="360" w:lineRule="auto"/>
            <w:rPr>
              <w:noProof/>
            </w:rPr>
          </w:pPr>
          <w:hyperlink w:anchor="_Toc230802003" w:history="1">
            <w:r w:rsidRPr="00742C01">
              <w:rPr>
                <w:rStyle w:val="Hyperlink"/>
                <w:noProof/>
              </w:rPr>
              <w:t>Women’s service to men</w:t>
            </w:r>
            <w:r w:rsidRPr="00742C01">
              <w:rPr>
                <w:noProof/>
                <w:webHidden/>
              </w:rPr>
              <w:tab/>
            </w:r>
            <w:r w:rsidRPr="00742C01">
              <w:rPr>
                <w:noProof/>
                <w:webHidden/>
              </w:rPr>
              <w:fldChar w:fldCharType="begin"/>
            </w:r>
            <w:r w:rsidRPr="00742C01">
              <w:rPr>
                <w:noProof/>
                <w:webHidden/>
              </w:rPr>
              <w:instrText xml:space="preserve"> PAGEREF _Toc230802003 \h </w:instrText>
            </w:r>
            <w:r w:rsidRPr="00742C01">
              <w:rPr>
                <w:noProof/>
                <w:webHidden/>
              </w:rPr>
            </w:r>
            <w:r w:rsidRPr="00742C01">
              <w:rPr>
                <w:noProof/>
                <w:webHidden/>
              </w:rPr>
              <w:fldChar w:fldCharType="separate"/>
            </w:r>
            <w:r w:rsidR="005D2EA3">
              <w:rPr>
                <w:noProof/>
                <w:webHidden/>
              </w:rPr>
              <w:t>14</w:t>
            </w:r>
            <w:r w:rsidRPr="00742C01">
              <w:rPr>
                <w:noProof/>
                <w:webHidden/>
              </w:rPr>
              <w:fldChar w:fldCharType="end"/>
            </w:r>
          </w:hyperlink>
        </w:p>
        <w:p w14:paraId="1023F9B6" w14:textId="20BBA648" w:rsidR="00F30C23" w:rsidRPr="00742C01" w:rsidRDefault="00F30C23" w:rsidP="00455404">
          <w:pPr>
            <w:pStyle w:val="TOC3"/>
            <w:tabs>
              <w:tab w:val="right" w:leader="dot" w:pos="9016"/>
            </w:tabs>
            <w:spacing w:line="360" w:lineRule="auto"/>
            <w:rPr>
              <w:noProof/>
            </w:rPr>
          </w:pPr>
          <w:hyperlink w:anchor="_Toc230802004" w:history="1">
            <w:r w:rsidRPr="00742C01">
              <w:rPr>
                <w:rStyle w:val="Hyperlink"/>
                <w:noProof/>
              </w:rPr>
              <w:t>Lack of empathy towards women</w:t>
            </w:r>
            <w:r w:rsidRPr="00742C01">
              <w:rPr>
                <w:noProof/>
                <w:webHidden/>
              </w:rPr>
              <w:tab/>
            </w:r>
            <w:r w:rsidRPr="00742C01">
              <w:rPr>
                <w:noProof/>
                <w:webHidden/>
              </w:rPr>
              <w:fldChar w:fldCharType="begin"/>
            </w:r>
            <w:r w:rsidRPr="00742C01">
              <w:rPr>
                <w:noProof/>
                <w:webHidden/>
              </w:rPr>
              <w:instrText xml:space="preserve"> PAGEREF _Toc230802004 \h </w:instrText>
            </w:r>
            <w:r w:rsidRPr="00742C01">
              <w:rPr>
                <w:noProof/>
                <w:webHidden/>
              </w:rPr>
            </w:r>
            <w:r w:rsidRPr="00742C01">
              <w:rPr>
                <w:noProof/>
                <w:webHidden/>
              </w:rPr>
              <w:fldChar w:fldCharType="separate"/>
            </w:r>
            <w:r w:rsidR="005D2EA3">
              <w:rPr>
                <w:noProof/>
                <w:webHidden/>
              </w:rPr>
              <w:t>15</w:t>
            </w:r>
            <w:r w:rsidRPr="00742C01">
              <w:rPr>
                <w:noProof/>
                <w:webHidden/>
              </w:rPr>
              <w:fldChar w:fldCharType="end"/>
            </w:r>
          </w:hyperlink>
        </w:p>
        <w:p w14:paraId="4F2F660D" w14:textId="70B5BFC8" w:rsidR="00F30C23" w:rsidRPr="00742C01" w:rsidRDefault="00F30C23" w:rsidP="00455404">
          <w:pPr>
            <w:pStyle w:val="TOC2"/>
            <w:spacing w:line="360" w:lineRule="auto"/>
            <w:rPr>
              <w:b/>
              <w:bCs/>
            </w:rPr>
          </w:pPr>
          <w:hyperlink w:anchor="_Toc230802005" w:history="1">
            <w:r w:rsidRPr="00742C01">
              <w:rPr>
                <w:rStyle w:val="Hyperlink"/>
              </w:rPr>
              <w:t>Conclusion</w:t>
            </w:r>
            <w:r w:rsidRPr="00742C01">
              <w:rPr>
                <w:webHidden/>
              </w:rPr>
              <w:tab/>
            </w:r>
            <w:r w:rsidRPr="00742C01">
              <w:rPr>
                <w:webHidden/>
              </w:rPr>
              <w:fldChar w:fldCharType="begin"/>
            </w:r>
            <w:r w:rsidRPr="00742C01">
              <w:rPr>
                <w:webHidden/>
              </w:rPr>
              <w:instrText xml:space="preserve"> PAGEREF _Toc230802005 \h </w:instrText>
            </w:r>
            <w:r w:rsidRPr="00742C01">
              <w:rPr>
                <w:webHidden/>
              </w:rPr>
            </w:r>
            <w:r w:rsidRPr="00742C01">
              <w:rPr>
                <w:webHidden/>
              </w:rPr>
              <w:fldChar w:fldCharType="separate"/>
            </w:r>
            <w:r w:rsidR="005D2EA3">
              <w:rPr>
                <w:webHidden/>
              </w:rPr>
              <w:t>18</w:t>
            </w:r>
            <w:r w:rsidRPr="00742C01">
              <w:rPr>
                <w:webHidden/>
              </w:rPr>
              <w:fldChar w:fldCharType="end"/>
            </w:r>
          </w:hyperlink>
        </w:p>
        <w:p w14:paraId="686ADDA2" w14:textId="62F8FADA" w:rsidR="00F30C23" w:rsidRPr="00742C01" w:rsidRDefault="00F30C23" w:rsidP="00455404">
          <w:pPr>
            <w:pStyle w:val="TOC2"/>
            <w:spacing w:line="360" w:lineRule="auto"/>
            <w:rPr>
              <w:b/>
              <w:bCs/>
            </w:rPr>
          </w:pPr>
          <w:hyperlink w:anchor="_Toc230802006" w:history="1">
            <w:r w:rsidRPr="00742C01">
              <w:rPr>
                <w:rStyle w:val="Hyperlink"/>
              </w:rPr>
              <w:t>References</w:t>
            </w:r>
            <w:r w:rsidRPr="00742C01">
              <w:rPr>
                <w:webHidden/>
              </w:rPr>
              <w:tab/>
            </w:r>
            <w:r w:rsidRPr="00742C01">
              <w:rPr>
                <w:webHidden/>
              </w:rPr>
              <w:fldChar w:fldCharType="begin"/>
            </w:r>
            <w:r w:rsidRPr="00742C01">
              <w:rPr>
                <w:webHidden/>
              </w:rPr>
              <w:instrText xml:space="preserve"> PAGEREF _Toc230802006 \h </w:instrText>
            </w:r>
            <w:r w:rsidRPr="00742C01">
              <w:rPr>
                <w:webHidden/>
              </w:rPr>
            </w:r>
            <w:r w:rsidRPr="00742C01">
              <w:rPr>
                <w:webHidden/>
              </w:rPr>
              <w:fldChar w:fldCharType="separate"/>
            </w:r>
            <w:r w:rsidR="005D2EA3">
              <w:rPr>
                <w:webHidden/>
              </w:rPr>
              <w:t>20</w:t>
            </w:r>
            <w:r w:rsidRPr="00742C01">
              <w:rPr>
                <w:webHidden/>
              </w:rPr>
              <w:fldChar w:fldCharType="end"/>
            </w:r>
          </w:hyperlink>
        </w:p>
        <w:p w14:paraId="66C572AE" w14:textId="2082AD10" w:rsidR="00F30C23" w:rsidRPr="00742C01" w:rsidRDefault="00F30C23" w:rsidP="00455404">
          <w:pPr>
            <w:pStyle w:val="TOC2"/>
            <w:spacing w:line="360" w:lineRule="auto"/>
            <w:rPr>
              <w:b/>
              <w:bCs/>
            </w:rPr>
          </w:pPr>
          <w:hyperlink w:anchor="_Toc230802007" w:history="1">
            <w:r w:rsidRPr="00742C01">
              <w:rPr>
                <w:rStyle w:val="Hyperlink"/>
              </w:rPr>
              <w:t>Appendix</w:t>
            </w:r>
            <w:r w:rsidRPr="00742C01">
              <w:rPr>
                <w:webHidden/>
              </w:rPr>
              <w:tab/>
            </w:r>
            <w:r w:rsidRPr="00742C01">
              <w:rPr>
                <w:webHidden/>
              </w:rPr>
              <w:fldChar w:fldCharType="begin"/>
            </w:r>
            <w:r w:rsidRPr="00742C01">
              <w:rPr>
                <w:webHidden/>
              </w:rPr>
              <w:instrText xml:space="preserve"> PAGEREF _Toc230802007 \h </w:instrText>
            </w:r>
            <w:r w:rsidRPr="00742C01">
              <w:rPr>
                <w:webHidden/>
              </w:rPr>
            </w:r>
            <w:r w:rsidRPr="00742C01">
              <w:rPr>
                <w:webHidden/>
              </w:rPr>
              <w:fldChar w:fldCharType="separate"/>
            </w:r>
            <w:r w:rsidR="005D2EA3">
              <w:rPr>
                <w:webHidden/>
              </w:rPr>
              <w:t>23</w:t>
            </w:r>
            <w:r w:rsidRPr="00742C01">
              <w:rPr>
                <w:webHidden/>
              </w:rPr>
              <w:fldChar w:fldCharType="end"/>
            </w:r>
          </w:hyperlink>
        </w:p>
        <w:p w14:paraId="3FCD6D74" w14:textId="68A508C2" w:rsidR="00F30C23" w:rsidRPr="00742C01" w:rsidRDefault="00F30C23" w:rsidP="00455404">
          <w:pPr>
            <w:pStyle w:val="TOC3"/>
            <w:tabs>
              <w:tab w:val="right" w:leader="dot" w:pos="9016"/>
            </w:tabs>
            <w:spacing w:line="360" w:lineRule="auto"/>
            <w:rPr>
              <w:noProof/>
            </w:rPr>
          </w:pPr>
          <w:hyperlink w:anchor="_Toc230802008" w:history="1">
            <w:r w:rsidRPr="00742C01">
              <w:rPr>
                <w:rStyle w:val="Hyperlink"/>
                <w:noProof/>
              </w:rPr>
              <w:t>Definitions</w:t>
            </w:r>
            <w:r w:rsidRPr="00742C01">
              <w:rPr>
                <w:noProof/>
                <w:webHidden/>
              </w:rPr>
              <w:tab/>
            </w:r>
            <w:r w:rsidRPr="00742C01">
              <w:rPr>
                <w:noProof/>
                <w:webHidden/>
              </w:rPr>
              <w:fldChar w:fldCharType="begin"/>
            </w:r>
            <w:r w:rsidRPr="00742C01">
              <w:rPr>
                <w:noProof/>
                <w:webHidden/>
              </w:rPr>
              <w:instrText xml:space="preserve"> PAGEREF _Toc230802008 \h </w:instrText>
            </w:r>
            <w:r w:rsidRPr="00742C01">
              <w:rPr>
                <w:noProof/>
                <w:webHidden/>
              </w:rPr>
            </w:r>
            <w:r w:rsidRPr="00742C01">
              <w:rPr>
                <w:noProof/>
                <w:webHidden/>
              </w:rPr>
              <w:fldChar w:fldCharType="separate"/>
            </w:r>
            <w:r w:rsidR="005D2EA3">
              <w:rPr>
                <w:noProof/>
                <w:webHidden/>
              </w:rPr>
              <w:t>23</w:t>
            </w:r>
            <w:r w:rsidRPr="00742C01">
              <w:rPr>
                <w:noProof/>
                <w:webHidden/>
              </w:rPr>
              <w:fldChar w:fldCharType="end"/>
            </w:r>
          </w:hyperlink>
        </w:p>
        <w:p w14:paraId="57891945" w14:textId="2F985E21" w:rsidR="00F30C23" w:rsidRDefault="00F30C23" w:rsidP="00455404">
          <w:pPr>
            <w:spacing w:line="360" w:lineRule="auto"/>
          </w:pPr>
          <w:r w:rsidRPr="00742C01">
            <w:rPr>
              <w:b/>
              <w:bCs/>
              <w:noProof/>
            </w:rPr>
            <w:fldChar w:fldCharType="end"/>
          </w:r>
        </w:p>
      </w:sdtContent>
    </w:sdt>
    <w:p w14:paraId="4E1E190D" w14:textId="77777777" w:rsidR="00DA4A3D" w:rsidRPr="00742C01" w:rsidRDefault="00DA4A3D" w:rsidP="00455404">
      <w:pPr>
        <w:spacing w:line="360" w:lineRule="auto"/>
        <w:rPr>
          <w:b/>
          <w:bCs/>
          <w:sz w:val="28"/>
          <w:szCs w:val="28"/>
        </w:rPr>
      </w:pPr>
    </w:p>
    <w:p w14:paraId="58D82C5A" w14:textId="77777777" w:rsidR="000A180D" w:rsidRPr="00742C01" w:rsidRDefault="000A180D" w:rsidP="00455404">
      <w:pPr>
        <w:spacing w:line="360" w:lineRule="auto"/>
        <w:jc w:val="center"/>
        <w:rPr>
          <w:sz w:val="28"/>
          <w:szCs w:val="28"/>
        </w:rPr>
      </w:pPr>
    </w:p>
    <w:p w14:paraId="203F65ED" w14:textId="782A59E0" w:rsidR="000A180D" w:rsidRPr="00742C01" w:rsidRDefault="000A180D" w:rsidP="00455404">
      <w:pPr>
        <w:tabs>
          <w:tab w:val="center" w:pos="4513"/>
        </w:tabs>
        <w:spacing w:line="360" w:lineRule="auto"/>
        <w:rPr>
          <w:sz w:val="28"/>
          <w:szCs w:val="28"/>
        </w:rPr>
        <w:sectPr w:rsidR="000A180D" w:rsidRPr="00742C01">
          <w:headerReference w:type="default" r:id="rId7"/>
          <w:footerReference w:type="default" r:id="rId8"/>
          <w:pgSz w:w="11906" w:h="16838"/>
          <w:pgMar w:top="1440" w:right="1440" w:bottom="1440" w:left="1440" w:header="720" w:footer="720" w:gutter="0"/>
          <w:cols w:space="720"/>
          <w:docGrid w:linePitch="360"/>
        </w:sectPr>
      </w:pPr>
      <w:r w:rsidRPr="00742C01">
        <w:rPr>
          <w:sz w:val="28"/>
          <w:szCs w:val="28"/>
        </w:rPr>
        <w:tab/>
      </w:r>
    </w:p>
    <w:p w14:paraId="0DD2E503" w14:textId="77777777" w:rsidR="00544F8A" w:rsidRPr="00742C01" w:rsidRDefault="00544F8A" w:rsidP="00455404">
      <w:pPr>
        <w:spacing w:line="360" w:lineRule="auto"/>
        <w:rPr>
          <w:b/>
          <w:bCs/>
          <w:sz w:val="28"/>
          <w:szCs w:val="28"/>
        </w:rPr>
        <w:sectPr w:rsidR="00544F8A" w:rsidRPr="00742C01" w:rsidSect="00C713BA">
          <w:footerReference w:type="default" r:id="rId9"/>
          <w:pgSz w:w="11906" w:h="16838"/>
          <w:pgMar w:top="1440" w:right="1440" w:bottom="1440" w:left="1440" w:header="720" w:footer="720" w:gutter="0"/>
          <w:pgNumType w:start="1"/>
          <w:cols w:space="720"/>
          <w:docGrid w:linePitch="360"/>
        </w:sectPr>
      </w:pPr>
    </w:p>
    <w:p w14:paraId="14BEE1D1" w14:textId="5A146E15" w:rsidR="561DFF6D" w:rsidRPr="00245FC3" w:rsidRDefault="561DFF6D" w:rsidP="00245FC3">
      <w:pPr>
        <w:pStyle w:val="Heading1"/>
        <w:numPr>
          <w:ilvl w:val="0"/>
          <w:numId w:val="28"/>
        </w:numPr>
        <w:rPr>
          <w:rFonts w:eastAsiaTheme="minorEastAsia"/>
        </w:rPr>
      </w:pPr>
      <w:bookmarkStart w:id="0" w:name="_Toc814745084"/>
      <w:bookmarkStart w:id="1" w:name="_Toc230797949"/>
      <w:bookmarkStart w:id="2" w:name="_Toc230801998"/>
      <w:r w:rsidRPr="00245FC3">
        <w:rPr>
          <w:rFonts w:eastAsiaTheme="minorEastAsia"/>
        </w:rPr>
        <w:t>Introduction</w:t>
      </w:r>
      <w:bookmarkEnd w:id="0"/>
      <w:bookmarkEnd w:id="1"/>
      <w:bookmarkEnd w:id="2"/>
    </w:p>
    <w:p w14:paraId="418E54D0" w14:textId="77777777" w:rsidR="00815563" w:rsidRPr="00742C01" w:rsidRDefault="00815563" w:rsidP="00455404">
      <w:pPr>
        <w:spacing w:line="360" w:lineRule="auto"/>
      </w:pPr>
    </w:p>
    <w:p w14:paraId="26386926" w14:textId="652B9254" w:rsidR="561DFF6D" w:rsidRPr="00742C01" w:rsidRDefault="561DFF6D" w:rsidP="00455404">
      <w:pPr>
        <w:shd w:val="clear" w:color="auto" w:fill="FFFFFF" w:themeFill="background1"/>
        <w:spacing w:after="0" w:line="360" w:lineRule="auto"/>
        <w:jc w:val="center"/>
        <w:rPr>
          <w:color w:val="000000" w:themeColor="text1"/>
        </w:rPr>
      </w:pPr>
      <w:r w:rsidRPr="00742C01">
        <w:rPr>
          <w:color w:val="000000" w:themeColor="text1"/>
        </w:rPr>
        <w:t xml:space="preserve">How are manosphere ideologies about gender roles presented in the television programme </w:t>
      </w:r>
      <w:r w:rsidRPr="00742C01">
        <w:rPr>
          <w:i/>
          <w:color w:val="000000" w:themeColor="text1"/>
        </w:rPr>
        <w:t>Adolescence</w:t>
      </w:r>
      <w:r w:rsidRPr="00742C01">
        <w:rPr>
          <w:color w:val="000000" w:themeColor="text1"/>
        </w:rPr>
        <w:t xml:space="preserve"> and a podcast with Andrew Tate?   </w:t>
      </w:r>
    </w:p>
    <w:p w14:paraId="4FD6A0AF" w14:textId="27D9EBF2" w:rsidR="1ABABFF0" w:rsidRPr="00742C01" w:rsidRDefault="1ABABFF0" w:rsidP="00455404">
      <w:pPr>
        <w:shd w:val="clear" w:color="auto" w:fill="FFFFFF" w:themeFill="background1"/>
        <w:spacing w:after="0" w:line="360" w:lineRule="auto"/>
        <w:jc w:val="center"/>
        <w:rPr>
          <w:color w:val="000000" w:themeColor="text1"/>
        </w:rPr>
      </w:pPr>
    </w:p>
    <w:p w14:paraId="4BB03816" w14:textId="1D22C750" w:rsidR="1ABABFF0" w:rsidRPr="003B60E5" w:rsidRDefault="561DFF6D" w:rsidP="00455404">
      <w:pPr>
        <w:shd w:val="clear" w:color="auto" w:fill="FFFFFF" w:themeFill="background1"/>
        <w:spacing w:after="0" w:line="360" w:lineRule="auto"/>
        <w:ind w:firstLine="720"/>
        <w:jc w:val="both"/>
        <w:rPr>
          <w:color w:val="000000" w:themeColor="text1"/>
        </w:rPr>
      </w:pPr>
      <w:r w:rsidRPr="7197A583">
        <w:rPr>
          <w:color w:val="000000" w:themeColor="text1"/>
        </w:rPr>
        <w:t xml:space="preserve">Social media and digital platforms amplify and mainstream extremist anti-feminist views (Ging, 2019; </w:t>
      </w:r>
      <w:proofErr w:type="spellStart"/>
      <w:r w:rsidRPr="7197A583">
        <w:rPr>
          <w:color w:val="000000" w:themeColor="text1"/>
        </w:rPr>
        <w:t>Haslop</w:t>
      </w:r>
      <w:proofErr w:type="spellEnd"/>
      <w:r w:rsidRPr="7197A583">
        <w:rPr>
          <w:color w:val="000000" w:themeColor="text1"/>
        </w:rPr>
        <w:t xml:space="preserve"> et al., 2024; Fowler, 2025), (</w:t>
      </w:r>
      <w:r w:rsidR="00A033E7" w:rsidRPr="7197A583">
        <w:rPr>
          <w:color w:val="000000" w:themeColor="text1"/>
        </w:rPr>
        <w:t xml:space="preserve">United Nations General Assembly </w:t>
      </w:r>
      <w:r w:rsidR="00A033E7">
        <w:rPr>
          <w:color w:val="000000" w:themeColor="text1"/>
        </w:rPr>
        <w:t>(</w:t>
      </w:r>
      <w:r w:rsidRPr="7197A583">
        <w:rPr>
          <w:color w:val="000000" w:themeColor="text1"/>
        </w:rPr>
        <w:t>UNGA</w:t>
      </w:r>
      <w:r w:rsidR="00A033E7">
        <w:rPr>
          <w:color w:val="000000" w:themeColor="text1"/>
        </w:rPr>
        <w:t>)</w:t>
      </w:r>
      <w:r w:rsidRPr="7197A583">
        <w:rPr>
          <w:color w:val="000000" w:themeColor="text1"/>
        </w:rPr>
        <w:t>, 2024) and (Tanner and Gillardin, 2025). On the surface, the manosphere</w:t>
      </w:r>
      <w:r w:rsidR="381CBDE9" w:rsidRPr="7197A583">
        <w:rPr>
          <w:color w:val="000000" w:themeColor="text1"/>
        </w:rPr>
        <w:t xml:space="preserve"> </w:t>
      </w:r>
      <w:r w:rsidR="381CBDE9" w:rsidRPr="332AA599">
        <w:rPr>
          <w:color w:val="000000" w:themeColor="text1"/>
        </w:rPr>
        <w:t>(see Appendix for</w:t>
      </w:r>
      <w:r w:rsidR="381CBDE9" w:rsidRPr="07B105F1">
        <w:rPr>
          <w:color w:val="000000" w:themeColor="text1"/>
        </w:rPr>
        <w:t xml:space="preserve"> list of </w:t>
      </w:r>
      <w:r w:rsidR="381CBDE9" w:rsidRPr="0143AAF3">
        <w:rPr>
          <w:color w:val="000000" w:themeColor="text1"/>
        </w:rPr>
        <w:t>definitions)</w:t>
      </w:r>
      <w:r w:rsidRPr="7197A583">
        <w:rPr>
          <w:color w:val="000000" w:themeColor="text1"/>
        </w:rPr>
        <w:t xml:space="preserve"> preaches good fitness, masculinity and advice on dating women and business. Although Ofcom (2025) reports that the manosphere is a fragmented array of online subcultures, there is argument that they are all united by their “defamatory framing of women” (Tanner and Gillardin, 2025, p.7).  This “prolific cross-fertilization of ideas" (Ging, 2019, p.8) has been made possible by technology which has amplified and created new platforms for violence against women</w:t>
      </w:r>
      <w:r w:rsidR="00A033E7">
        <w:rPr>
          <w:color w:val="000000" w:themeColor="text1"/>
        </w:rPr>
        <w:t xml:space="preserve"> </w:t>
      </w:r>
      <w:r w:rsidRPr="7197A583">
        <w:rPr>
          <w:color w:val="000000" w:themeColor="text1"/>
        </w:rPr>
        <w:t>(UNGA, 2024), with 70% of Generation Z media users believing misogynistic and divisive language has increased online (Amnesty International UK, 2025). The triple murderer, Kyle Clifford, watched 10 Andrew Tate videos in the 24 hours before killing his ex-girlfriend Louise Hunt, her sister Hannah and her mother Carol (</w:t>
      </w:r>
      <w:proofErr w:type="spellStart"/>
      <w:r w:rsidRPr="7197A583">
        <w:rPr>
          <w:color w:val="000000" w:themeColor="text1"/>
        </w:rPr>
        <w:t>Sinmaz</w:t>
      </w:r>
      <w:proofErr w:type="spellEnd"/>
      <w:r w:rsidRPr="7197A583">
        <w:rPr>
          <w:color w:val="000000" w:themeColor="text1"/>
        </w:rPr>
        <w:t>, 2025). Andrew Tate is a prolific ‘</w:t>
      </w:r>
      <w:proofErr w:type="spellStart"/>
      <w:r w:rsidRPr="7197A583">
        <w:rPr>
          <w:color w:val="000000" w:themeColor="text1"/>
        </w:rPr>
        <w:t>manfluencer</w:t>
      </w:r>
      <w:proofErr w:type="spellEnd"/>
      <w:r w:rsidRPr="7197A583">
        <w:rPr>
          <w:color w:val="000000" w:themeColor="text1"/>
        </w:rPr>
        <w:t xml:space="preserve">’ (male influencer) who is a central content creator in the manosphere, despite having his accounts banned (Roberts et al., 2025; Baker, Ging and Andreasen, 2024; Ofcom, 2025). </w:t>
      </w:r>
    </w:p>
    <w:p w14:paraId="4DB0DBD8" w14:textId="77777777" w:rsidR="00815563" w:rsidRPr="00742C01" w:rsidRDefault="00815563" w:rsidP="00455404">
      <w:pPr>
        <w:shd w:val="clear" w:color="auto" w:fill="FFFFFF" w:themeFill="background1"/>
        <w:spacing w:after="0" w:line="360" w:lineRule="auto"/>
        <w:ind w:firstLine="720"/>
        <w:jc w:val="both"/>
        <w:rPr>
          <w:color w:val="000000" w:themeColor="text1"/>
        </w:rPr>
      </w:pPr>
    </w:p>
    <w:p w14:paraId="6FEE7DC3" w14:textId="16686E0A" w:rsidR="1ABABFF0" w:rsidRPr="00742C01" w:rsidRDefault="561DFF6D" w:rsidP="00455404">
      <w:pPr>
        <w:shd w:val="clear" w:color="auto" w:fill="FFFFFF" w:themeFill="background1"/>
        <w:spacing w:after="0" w:line="360" w:lineRule="auto"/>
        <w:ind w:firstLine="720"/>
        <w:jc w:val="both"/>
        <w:rPr>
          <w:color w:val="000000" w:themeColor="text1"/>
        </w:rPr>
      </w:pPr>
      <w:r w:rsidRPr="00742C01">
        <w:rPr>
          <w:color w:val="000000" w:themeColor="text1"/>
        </w:rPr>
        <w:t>Tate’s tropes of misogyny, violence towards women and economic success have become homosocial currencies for some young boys offline, raising concerns about a rise in misogyny among younger generations (</w:t>
      </w:r>
      <w:proofErr w:type="spellStart"/>
      <w:r w:rsidRPr="00742C01">
        <w:rPr>
          <w:color w:val="000000" w:themeColor="text1"/>
        </w:rPr>
        <w:t>Haslop</w:t>
      </w:r>
      <w:proofErr w:type="spellEnd"/>
      <w:r w:rsidRPr="00742C01">
        <w:rPr>
          <w:color w:val="000000" w:themeColor="text1"/>
        </w:rPr>
        <w:t xml:space="preserve"> et al., 2024). This demonstrates what can result from the amplification of </w:t>
      </w:r>
      <w:proofErr w:type="spellStart"/>
      <w:r w:rsidRPr="00742C01">
        <w:rPr>
          <w:color w:val="000000" w:themeColor="text1"/>
        </w:rPr>
        <w:t>manfluencer</w:t>
      </w:r>
      <w:proofErr w:type="spellEnd"/>
      <w:r w:rsidRPr="00742C01">
        <w:rPr>
          <w:color w:val="000000" w:themeColor="text1"/>
        </w:rPr>
        <w:t xml:space="preserve"> content, especially Andrew Tate. Therefore, this dissertation conducts discourse analysis of an extract from the television programme </w:t>
      </w:r>
      <w:r w:rsidRPr="00742C01">
        <w:rPr>
          <w:i/>
          <w:color w:val="000000" w:themeColor="text1"/>
        </w:rPr>
        <w:t>Adolescence</w:t>
      </w:r>
      <w:r w:rsidRPr="00742C01">
        <w:rPr>
          <w:color w:val="000000" w:themeColor="text1"/>
        </w:rPr>
        <w:t xml:space="preserve"> and a YouTube podcast involving Andrew Tate. </w:t>
      </w:r>
      <w:r w:rsidRPr="00742C01">
        <w:rPr>
          <w:i/>
          <w:color w:val="000000" w:themeColor="text1"/>
        </w:rPr>
        <w:t>Adolescence</w:t>
      </w:r>
      <w:r w:rsidRPr="00742C01">
        <w:rPr>
          <w:color w:val="000000" w:themeColor="text1"/>
        </w:rPr>
        <w:t xml:space="preserve"> is being used to educate children in some schools on the dangers of the manosphere ideology</w:t>
      </w:r>
      <w:r w:rsidR="00F5073B" w:rsidRPr="00742C01">
        <w:rPr>
          <w:color w:val="000000" w:themeColor="text1"/>
        </w:rPr>
        <w:t xml:space="preserve"> </w:t>
      </w:r>
      <w:r w:rsidR="00F5073B" w:rsidRPr="00742C01">
        <w:t>(Netflix, 2025)</w:t>
      </w:r>
      <w:r w:rsidRPr="00742C01">
        <w:rPr>
          <w:color w:val="000000" w:themeColor="text1"/>
        </w:rPr>
        <w:t xml:space="preserve">. </w:t>
      </w:r>
      <w:r w:rsidRPr="00742C01">
        <w:rPr>
          <w:color w:val="000000" w:themeColor="text1"/>
        </w:rPr>
        <w:lastRenderedPageBreak/>
        <w:t xml:space="preserve">Therefore, analysing the programme provides insight into how the writers represent the gender roles associated with the manosphere from the perspective of a young boy, Jamie. Pairing this fictional representation with the non-fictional Tate podcast allows for analysis of the representations of gender roles being promoted by one of its figureheads. </w:t>
      </w:r>
    </w:p>
    <w:p w14:paraId="6E49A11B" w14:textId="3A3EED54" w:rsidR="1ABABFF0" w:rsidRPr="00742C01" w:rsidRDefault="561DFF6D" w:rsidP="00455404">
      <w:pPr>
        <w:spacing w:after="0" w:line="360" w:lineRule="auto"/>
        <w:ind w:firstLine="720"/>
        <w:jc w:val="both"/>
        <w:rPr>
          <w:color w:val="000000" w:themeColor="text1"/>
        </w:rPr>
      </w:pPr>
      <w:r w:rsidRPr="00742C01">
        <w:rPr>
          <w:color w:val="000000" w:themeColor="text1"/>
        </w:rPr>
        <w:t xml:space="preserve">Hegemonic masculinity is central to many manosphere ideologies surrounding gender roles (Connell and Messerschmidt, 2005 cited in Ging, 2019; </w:t>
      </w:r>
      <w:proofErr w:type="spellStart"/>
      <w:r w:rsidRPr="00742C01">
        <w:rPr>
          <w:color w:val="000000" w:themeColor="text1"/>
        </w:rPr>
        <w:t>Haslop</w:t>
      </w:r>
      <w:proofErr w:type="spellEnd"/>
      <w:r w:rsidRPr="00742C01">
        <w:rPr>
          <w:color w:val="000000" w:themeColor="text1"/>
        </w:rPr>
        <w:t xml:space="preserve"> et al., 2024; Roberts et al., 2025). By using the framework of hybrid masculinity (Ging, 2019; Fowler, 2025), masculinism (Roberts et. al., 2025), and how these are reinforced by becoming homosocial currencies (</w:t>
      </w:r>
      <w:proofErr w:type="spellStart"/>
      <w:r w:rsidRPr="00742C01">
        <w:rPr>
          <w:color w:val="000000" w:themeColor="text1"/>
        </w:rPr>
        <w:t>Haslop</w:t>
      </w:r>
      <w:proofErr w:type="spellEnd"/>
      <w:r w:rsidRPr="00742C01">
        <w:rPr>
          <w:color w:val="000000" w:themeColor="text1"/>
        </w:rPr>
        <w:t xml:space="preserve"> et al., 2024), this dissertation analyses representations of manosphere gender roles. </w:t>
      </w:r>
      <w:proofErr w:type="gramStart"/>
      <w:r w:rsidRPr="00742C01">
        <w:rPr>
          <w:color w:val="000000" w:themeColor="text1"/>
        </w:rPr>
        <w:t>In particular, it</w:t>
      </w:r>
      <w:proofErr w:type="gramEnd"/>
      <w:r w:rsidRPr="00742C01">
        <w:rPr>
          <w:color w:val="000000" w:themeColor="text1"/>
        </w:rPr>
        <w:t xml:space="preserve"> explores how hegemonic masculine structures operating in society, and reinforced by </w:t>
      </w:r>
      <w:proofErr w:type="spellStart"/>
      <w:r w:rsidRPr="00742C01">
        <w:rPr>
          <w:color w:val="000000" w:themeColor="text1"/>
        </w:rPr>
        <w:t>manfluencers</w:t>
      </w:r>
      <w:proofErr w:type="spellEnd"/>
      <w:r w:rsidRPr="00742C01">
        <w:rPr>
          <w:color w:val="000000" w:themeColor="text1"/>
        </w:rPr>
        <w:t xml:space="preserve"> such as Tate, shape representations of gender roles. Themes of victimhood, women’s emotional and reproductive service to men and empathy towards women are examined to understand how gender roles are represented. The interweaving themes and concepts discussed highlight contradictions within representations of the manosphere’s ideologies about gender roles, especially when men are striving to keep their status within hegemonic masculinity structures. How victimhood, either perceived or actual, is a contributor to how gender roles are represented and how it shapes reactions to women and gender expectations is also explored. It is important to understand what ‘manosphere’ ideological representations of men’s and women’s roles are in society and in relation to each other. This dissertation will allow for an analysis of different perspectives of the community, from the persuader and promoter of the ideology (Tate) and from the child being influenced (Jamie). By analysing both a prominent manosphere figurehead and a fictional representation of a young boy influenced by manosphere ideology, this dissertation offers insight into how gender roles are promoted, interpreted and represented across different contexts.</w:t>
      </w:r>
    </w:p>
    <w:p w14:paraId="47D58220" w14:textId="2BA278AA" w:rsidR="0FFFD84E" w:rsidRPr="00742C01" w:rsidRDefault="0FFFD84E" w:rsidP="00245FC3">
      <w:pPr>
        <w:pStyle w:val="Heading1"/>
        <w:rPr>
          <w:rFonts w:eastAsiaTheme="minorEastAsia"/>
        </w:rPr>
      </w:pPr>
      <w:bookmarkStart w:id="3" w:name="_Toc500606328"/>
      <w:bookmarkStart w:id="4" w:name="_Toc230797950"/>
      <w:bookmarkStart w:id="5" w:name="_Toc230801999"/>
      <w:r w:rsidRPr="00742C01">
        <w:rPr>
          <w:rFonts w:eastAsiaTheme="minorEastAsia"/>
        </w:rPr>
        <w:t>Literature Review</w:t>
      </w:r>
      <w:bookmarkEnd w:id="3"/>
      <w:bookmarkEnd w:id="4"/>
      <w:bookmarkEnd w:id="5"/>
    </w:p>
    <w:p w14:paraId="0471E9AF" w14:textId="5EB6EC77"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There is a radical shift taking place in anti-feminist and male hegemonic rhetoric online due to rapid technological change (Ging, 2019; Fowler, 2025; UNGA, 2024; Tanner and Gillardin, 2025). Ging (p. 1) asserts it is a “particularly toxic brand” which is found in the manosphere.  ‘</w:t>
      </w:r>
      <w:r w:rsidR="00CC1D92" w:rsidRPr="00742C01">
        <w:rPr>
          <w:color w:val="000000" w:themeColor="text1"/>
        </w:rPr>
        <w:t>R</w:t>
      </w:r>
      <w:r w:rsidRPr="00742C01">
        <w:rPr>
          <w:color w:val="000000" w:themeColor="text1"/>
        </w:rPr>
        <w:t xml:space="preserve">ed </w:t>
      </w:r>
      <w:proofErr w:type="spellStart"/>
      <w:r w:rsidRPr="00742C01">
        <w:rPr>
          <w:color w:val="000000" w:themeColor="text1"/>
        </w:rPr>
        <w:t>pillers’</w:t>
      </w:r>
      <w:proofErr w:type="spellEnd"/>
      <w:r w:rsidRPr="00742C01">
        <w:rPr>
          <w:color w:val="000000" w:themeColor="text1"/>
        </w:rPr>
        <w:t xml:space="preserve"> refer to what Tanner and </w:t>
      </w:r>
      <w:proofErr w:type="spellStart"/>
      <w:r w:rsidRPr="00742C01">
        <w:rPr>
          <w:color w:val="000000" w:themeColor="text1"/>
        </w:rPr>
        <w:t>Gillardin</w:t>
      </w:r>
      <w:proofErr w:type="spellEnd"/>
      <w:r w:rsidRPr="00742C01">
        <w:rPr>
          <w:color w:val="000000" w:themeColor="text1"/>
        </w:rPr>
        <w:t xml:space="preserve"> (2025, p. 7) have coined the “so-</w:t>
      </w:r>
      <w:r w:rsidRPr="00742C01">
        <w:rPr>
          <w:color w:val="000000" w:themeColor="text1"/>
        </w:rPr>
        <w:lastRenderedPageBreak/>
        <w:t>called crisis of masculinity”. This ‘</w:t>
      </w:r>
      <w:proofErr w:type="spellStart"/>
      <w:r w:rsidRPr="00742C01">
        <w:rPr>
          <w:color w:val="000000" w:themeColor="text1"/>
        </w:rPr>
        <w:t>crisis’</w:t>
      </w:r>
      <w:proofErr w:type="spellEnd"/>
      <w:r w:rsidRPr="00742C01">
        <w:rPr>
          <w:color w:val="000000" w:themeColor="text1"/>
        </w:rPr>
        <w:t xml:space="preserve"> narrative positions men as the victims of ills attributed to a society they perceive to be too feminised and where women are at the top of the gender hierarchy (p. 7). The mobilisation of this narrative has led to a “rapid propagation of Red Pill ‘philosophy’ across multiple platforms (Ging, 2019, p. 8). </w:t>
      </w:r>
    </w:p>
    <w:p w14:paraId="7741C984" w14:textId="4BA1CE02"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Researchers insist that manosphere ideologies are increasingly becoming more mainstreamed due to the ‘amplification’ of sexist stereotypes found in posts, podcasts, videos and pictures made possible by algorithms controlling what people see online (UNGA, 2024, p. 2; Tanner and Gillardin, 2025, p.2; Ofcom, 2025). A study by Baker, Ging and Andreasen (2024) tracked and coded recommended content from TikTok and YouTube Shorts by using fake ‘</w:t>
      </w:r>
      <w:proofErr w:type="spellStart"/>
      <w:r w:rsidRPr="00742C01">
        <w:rPr>
          <w:color w:val="000000" w:themeColor="text1"/>
        </w:rPr>
        <w:t>sockpuppet</w:t>
      </w:r>
      <w:proofErr w:type="spellEnd"/>
      <w:r w:rsidRPr="00742C01">
        <w:rPr>
          <w:color w:val="000000" w:themeColor="text1"/>
        </w:rPr>
        <w:t xml:space="preserve">’ accounts which were varied in age and in interest in the manosphere. This insightful research demonstrated that all the accounts </w:t>
      </w:r>
      <w:r w:rsidR="00567F14" w:rsidRPr="00742C01">
        <w:rPr>
          <w:color w:val="000000" w:themeColor="text1"/>
        </w:rPr>
        <w:t xml:space="preserve">were fed </w:t>
      </w:r>
      <w:r w:rsidRPr="00742C01">
        <w:rPr>
          <w:color w:val="000000" w:themeColor="text1"/>
        </w:rPr>
        <w:t xml:space="preserve">manosphere content within the first 26 minutes (p.5). Similarly, Tanner and </w:t>
      </w:r>
      <w:proofErr w:type="spellStart"/>
      <w:r w:rsidRPr="00742C01">
        <w:rPr>
          <w:color w:val="000000" w:themeColor="text1"/>
        </w:rPr>
        <w:t>Gillardin</w:t>
      </w:r>
      <w:proofErr w:type="spellEnd"/>
      <w:r w:rsidRPr="00742C01">
        <w:rPr>
          <w:color w:val="000000" w:themeColor="text1"/>
        </w:rPr>
        <w:t xml:space="preserve"> (2025, p.2) observed that TikTok amplifies “toxic communication and hegemonic masculinity references” such as in the form of ‘sigma </w:t>
      </w:r>
      <w:proofErr w:type="gramStart"/>
      <w:r w:rsidRPr="00742C01">
        <w:rPr>
          <w:color w:val="000000" w:themeColor="text1"/>
        </w:rPr>
        <w:t>memes’</w:t>
      </w:r>
      <w:proofErr w:type="gramEnd"/>
      <w:r w:rsidRPr="00742C01">
        <w:rPr>
          <w:color w:val="000000" w:themeColor="text1"/>
        </w:rPr>
        <w:t xml:space="preserve">. They describe memes as being “cultural information that is passed from person to person” (p.4). Conversations found on incel forums and servers were often “meme-based, incorporating themes of dark humour, and utilising language consistent across the Incel space” (Ofcom, 2025, p. 49). It is the discourse used in these memes that trickles down into mainstream, offline societal conversations (Tanner and Gillardin, 2025). Ging (2019, p.11) agrees that it is irrelevant if the masculinities men show online relate to their ‘real selves’ as “they have </w:t>
      </w:r>
      <w:r w:rsidRPr="00742C01">
        <w:rPr>
          <w:i/>
          <w:color w:val="000000" w:themeColor="text1"/>
        </w:rPr>
        <w:t>both</w:t>
      </w:r>
      <w:r w:rsidRPr="00742C01">
        <w:rPr>
          <w:color w:val="000000" w:themeColor="text1"/>
        </w:rPr>
        <w:t xml:space="preserve"> the intention </w:t>
      </w:r>
      <w:r w:rsidRPr="00742C01">
        <w:rPr>
          <w:i/>
          <w:color w:val="000000" w:themeColor="text1"/>
        </w:rPr>
        <w:t>and</w:t>
      </w:r>
      <w:r w:rsidRPr="00742C01">
        <w:rPr>
          <w:color w:val="000000" w:themeColor="text1"/>
        </w:rPr>
        <w:t xml:space="preserve"> the effect of reasserting male sexual and cultural dominance”.</w:t>
      </w:r>
    </w:p>
    <w:p w14:paraId="5F9D2FB2" w14:textId="1894544B"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Different types of masculinities are discussed in relation to the manosphere: hegemonic masculinity (Connell and Messerschmidt, 2005 cited in Ging, 2019; </w:t>
      </w:r>
      <w:proofErr w:type="spellStart"/>
      <w:r w:rsidRPr="00742C01">
        <w:rPr>
          <w:color w:val="000000" w:themeColor="text1"/>
        </w:rPr>
        <w:t>Haslop</w:t>
      </w:r>
      <w:proofErr w:type="spellEnd"/>
      <w:r w:rsidRPr="00742C01">
        <w:rPr>
          <w:color w:val="000000" w:themeColor="text1"/>
        </w:rPr>
        <w:t xml:space="preserve"> et al., 2024; Roberts et al., 2025), hybrid masculinity (Ging, 2019; Fowler, 2025), aggrieved masculinity (</w:t>
      </w:r>
      <w:proofErr w:type="spellStart"/>
      <w:r w:rsidRPr="00742C01">
        <w:rPr>
          <w:color w:val="000000" w:themeColor="text1"/>
        </w:rPr>
        <w:t>Haslop</w:t>
      </w:r>
      <w:proofErr w:type="spellEnd"/>
      <w:r w:rsidRPr="00742C01">
        <w:rPr>
          <w:color w:val="000000" w:themeColor="text1"/>
        </w:rPr>
        <w:t xml:space="preserve"> et al., 2024; Baker, Ging and Andreasen, 2024) and heterosexual masculinity (Botto and </w:t>
      </w:r>
      <w:proofErr w:type="spellStart"/>
      <w:r w:rsidRPr="00742C01">
        <w:rPr>
          <w:color w:val="000000" w:themeColor="text1"/>
        </w:rPr>
        <w:t>Gottzen</w:t>
      </w:r>
      <w:proofErr w:type="spellEnd"/>
      <w:r w:rsidRPr="00742C01">
        <w:rPr>
          <w:color w:val="000000" w:themeColor="text1"/>
        </w:rPr>
        <w:t xml:space="preserve">, 2024; </w:t>
      </w:r>
      <w:proofErr w:type="spellStart"/>
      <w:r w:rsidRPr="00742C01">
        <w:rPr>
          <w:color w:val="000000" w:themeColor="text1"/>
        </w:rPr>
        <w:t>Haslop</w:t>
      </w:r>
      <w:proofErr w:type="spellEnd"/>
      <w:r w:rsidRPr="00742C01">
        <w:rPr>
          <w:color w:val="000000" w:themeColor="text1"/>
        </w:rPr>
        <w:t xml:space="preserve"> et. al., 2024).</w:t>
      </w:r>
      <w:r w:rsidR="00430BD0" w:rsidRPr="00742C01">
        <w:rPr>
          <w:color w:val="000000" w:themeColor="text1"/>
        </w:rPr>
        <w:t xml:space="preserve"> </w:t>
      </w:r>
      <w:r w:rsidRPr="00742C01">
        <w:rPr>
          <w:color w:val="000000" w:themeColor="text1"/>
        </w:rPr>
        <w:t xml:space="preserve">The ‘red pill’ community provides an outline for what the ‘ideal’ masculinity is and according to Botto and </w:t>
      </w:r>
      <w:proofErr w:type="spellStart"/>
      <w:r w:rsidRPr="00742C01">
        <w:rPr>
          <w:color w:val="000000" w:themeColor="text1"/>
        </w:rPr>
        <w:t>Gottzen</w:t>
      </w:r>
      <w:proofErr w:type="spellEnd"/>
      <w:r w:rsidRPr="00742C01">
        <w:rPr>
          <w:color w:val="000000" w:themeColor="text1"/>
        </w:rPr>
        <w:t xml:space="preserve"> (2024, p. 606) there is “pressure to live up to standards of heterosexual masculinity, including being physically attractive and sexually successful”. However, as Fowler (2025, p. 7) points out, depending upon which community people belong to, different masculinities are performed: MRAs perform exaggerated hegemonic masculinity and incels are more contradictory and adopt a marginalized depiction of masculinity. Fowler’s study was virtual ethnographic </w:t>
      </w:r>
      <w:r w:rsidRPr="00742C01">
        <w:rPr>
          <w:color w:val="000000" w:themeColor="text1"/>
        </w:rPr>
        <w:lastRenderedPageBreak/>
        <w:t xml:space="preserve">research on the MGTOW page on the website Reddit which meant she gained insider meanings. Interestingly, shortly after the research was conducted, Reddit banned the MGTOW page for promoting violence and hate (p. 3). Fowler (p. 11) found that one gender role within the community was to be a ‘grey man’ which meant </w:t>
      </w:r>
      <w:r w:rsidR="00D43ADC" w:rsidRPr="00742C01">
        <w:rPr>
          <w:color w:val="000000" w:themeColor="text1"/>
        </w:rPr>
        <w:t>they</w:t>
      </w:r>
      <w:r w:rsidRPr="00742C01">
        <w:rPr>
          <w:color w:val="000000" w:themeColor="text1"/>
        </w:rPr>
        <w:t xml:space="preserve"> did not take part in traditional gender roles of fatherhood and marriage. However, it is not because they </w:t>
      </w:r>
      <w:r w:rsidR="00D43ADC" w:rsidRPr="00742C01">
        <w:rPr>
          <w:color w:val="000000" w:themeColor="text1"/>
        </w:rPr>
        <w:t>were</w:t>
      </w:r>
      <w:r w:rsidRPr="00742C01">
        <w:rPr>
          <w:color w:val="000000" w:themeColor="text1"/>
        </w:rPr>
        <w:t xml:space="preserve"> living alternative masculinities, she argues being a ‘grey man’ means still adhering to the desirable masculine traits of “aggression, intelligence, physical strength, and self-sufficiency" (p. 11). Therefore, MGTOW users were contradictory in that their “worldview was structured squarely around traditional superior hegemonic masculinity and biologically inferior femininity” yet they challenged the traditional masculine gender roles which they believed to be assigned to them (p.13). Therefore, because the </w:t>
      </w:r>
      <w:r w:rsidR="00F66CB3" w:rsidRPr="00742C01">
        <w:rPr>
          <w:color w:val="000000" w:themeColor="text1"/>
        </w:rPr>
        <w:t xml:space="preserve">‘grey </w:t>
      </w:r>
      <w:r w:rsidRPr="00742C01">
        <w:rPr>
          <w:color w:val="000000" w:themeColor="text1"/>
        </w:rPr>
        <w:t>men</w:t>
      </w:r>
      <w:r w:rsidR="00F66CB3" w:rsidRPr="00742C01">
        <w:rPr>
          <w:color w:val="000000" w:themeColor="text1"/>
        </w:rPr>
        <w:t>’</w:t>
      </w:r>
      <w:r w:rsidRPr="00742C01">
        <w:rPr>
          <w:color w:val="000000" w:themeColor="text1"/>
        </w:rPr>
        <w:t xml:space="preserve"> may not want to adhere to traditional gender roles themselves, this does not mean they believe in this for women. Contradictory arguments about what this means in terms of masculinity, </w:t>
      </w:r>
      <w:r w:rsidR="00FA1907" w:rsidRPr="00742C01">
        <w:rPr>
          <w:color w:val="000000" w:themeColor="text1"/>
        </w:rPr>
        <w:t>are</w:t>
      </w:r>
      <w:r w:rsidRPr="00742C01">
        <w:rPr>
          <w:color w:val="000000" w:themeColor="text1"/>
        </w:rPr>
        <w:t xml:space="preserve"> an important consideration for this dissertation. </w:t>
      </w:r>
    </w:p>
    <w:p w14:paraId="03334A49" w14:textId="0340CA5D"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The manosphere has been claimed to affect young people’s perceptions of gender, persuading users to hold traditional views and become more socially conservative (UNGA, 2024; Ofcom, 2025; Tanner and Gillardin, 2025). The theme of anti-femininity within the manosphere has been discussed by researchers, albeit not at length. </w:t>
      </w:r>
      <w:proofErr w:type="spellStart"/>
      <w:r w:rsidRPr="00742C01">
        <w:rPr>
          <w:color w:val="000000" w:themeColor="text1"/>
        </w:rPr>
        <w:t>Haslop</w:t>
      </w:r>
      <w:proofErr w:type="spellEnd"/>
      <w:r w:rsidRPr="00742C01">
        <w:rPr>
          <w:color w:val="000000" w:themeColor="text1"/>
        </w:rPr>
        <w:t xml:space="preserve"> et al. (2024) asserts that this traditional way of thinking has reinforced negative thinking around femininity and feminine ‘</w:t>
      </w:r>
      <w:proofErr w:type="gramStart"/>
      <w:r w:rsidRPr="00742C01">
        <w:rPr>
          <w:color w:val="000000" w:themeColor="text1"/>
        </w:rPr>
        <w:t>others’</w:t>
      </w:r>
      <w:proofErr w:type="gramEnd"/>
      <w:r w:rsidRPr="00742C01">
        <w:rPr>
          <w:color w:val="000000" w:themeColor="text1"/>
        </w:rPr>
        <w:t>. This, as Fowler (2025, p.12) describes, is the “vilification of women”</w:t>
      </w:r>
      <w:r w:rsidR="008F169B" w:rsidRPr="00742C01">
        <w:rPr>
          <w:color w:val="000000" w:themeColor="text1"/>
        </w:rPr>
        <w:t>.</w:t>
      </w:r>
      <w:r w:rsidRPr="00742C01">
        <w:rPr>
          <w:color w:val="000000" w:themeColor="text1"/>
        </w:rPr>
        <w:t xml:space="preserve"> Women are ‘vilified’ by the manosphere presenting arguments about them being hypergamous as based on evolutionary psychology as they “appear to be irrefutable facts rather than sexist claims” (Botto and </w:t>
      </w:r>
      <w:proofErr w:type="spellStart"/>
      <w:r w:rsidRPr="00742C01">
        <w:rPr>
          <w:color w:val="000000" w:themeColor="text1"/>
        </w:rPr>
        <w:t>Gottzen</w:t>
      </w:r>
      <w:proofErr w:type="spellEnd"/>
      <w:r w:rsidRPr="00742C01">
        <w:rPr>
          <w:color w:val="000000" w:themeColor="text1"/>
        </w:rPr>
        <w:t xml:space="preserve">, 2024, p.603). Fowler (2025, p.11) agrees with Botto and </w:t>
      </w:r>
      <w:proofErr w:type="spellStart"/>
      <w:r w:rsidRPr="00742C01">
        <w:rPr>
          <w:color w:val="000000" w:themeColor="text1"/>
        </w:rPr>
        <w:t>Gottzen</w:t>
      </w:r>
      <w:proofErr w:type="spellEnd"/>
      <w:r w:rsidRPr="00742C01">
        <w:rPr>
          <w:color w:val="000000" w:themeColor="text1"/>
        </w:rPr>
        <w:t xml:space="preserve"> as she found that men within the MGTOW reddit community “often reminisced about the (imagined) women of a nostalgic patriarchal past, who were moral, monogamous, and modest”. Fowler argues that manosphere men judge women on their utility or danger to men and this perceived danger leads to the next</w:t>
      </w:r>
      <w:r w:rsidR="009F06EA" w:rsidRPr="00742C01">
        <w:rPr>
          <w:color w:val="000000" w:themeColor="text1"/>
        </w:rPr>
        <w:t xml:space="preserve"> important</w:t>
      </w:r>
      <w:r w:rsidRPr="00742C01">
        <w:rPr>
          <w:color w:val="000000" w:themeColor="text1"/>
        </w:rPr>
        <w:t xml:space="preserve"> theme of victimhood (p. 12). </w:t>
      </w:r>
    </w:p>
    <w:p w14:paraId="33306173" w14:textId="30E96AD3"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Ging (2019) applied critical discourse analysis to posts made on popular manosphere websites. The data was made up of posts made by people who did not know they were being observed, which could mean it provides the authentic and realistic opinions from the manosphere community. She found “exaggerated performances of misogyny and </w:t>
      </w:r>
      <w:r w:rsidRPr="00742C01">
        <w:rPr>
          <w:color w:val="000000" w:themeColor="text1"/>
        </w:rPr>
        <w:lastRenderedPageBreak/>
        <w:t xml:space="preserve">simultaneous mobilisation of tropes of victimhood” (p. 11). Tanner and </w:t>
      </w:r>
      <w:proofErr w:type="spellStart"/>
      <w:r w:rsidRPr="00742C01">
        <w:rPr>
          <w:color w:val="000000" w:themeColor="text1"/>
        </w:rPr>
        <w:t>Gillardin</w:t>
      </w:r>
      <w:proofErr w:type="spellEnd"/>
      <w:r w:rsidRPr="00742C01">
        <w:rPr>
          <w:color w:val="000000" w:themeColor="text1"/>
        </w:rPr>
        <w:t xml:space="preserve"> (2025, p.7) agree that there is “perceived injustice towards men” within the community. Similarly, Ofcom (2025, p. 16) supports this view that the men, and one woman, involved in their sample feel neglected by women and society and feel their disadvantages are downplayed. Fowler also supports this </w:t>
      </w:r>
      <w:proofErr w:type="gramStart"/>
      <w:r w:rsidRPr="00742C01">
        <w:rPr>
          <w:color w:val="000000" w:themeColor="text1"/>
        </w:rPr>
        <w:t>view, but</w:t>
      </w:r>
      <w:proofErr w:type="gramEnd"/>
      <w:r w:rsidRPr="00742C01">
        <w:rPr>
          <w:color w:val="000000" w:themeColor="text1"/>
        </w:rPr>
        <w:t xml:space="preserve"> expands upon Ofcom’s further by stating they are “angry about what they interpret as systemic disadvantages in the home, workplace, and courtroom” and the people gather in the manosphere to “deal with the perceived ‘</w:t>
      </w:r>
      <w:proofErr w:type="spellStart"/>
      <w:r w:rsidRPr="00742C01">
        <w:rPr>
          <w:color w:val="000000" w:themeColor="text1"/>
        </w:rPr>
        <w:t>gynocentrism</w:t>
      </w:r>
      <w:proofErr w:type="spellEnd"/>
      <w:r w:rsidRPr="00742C01">
        <w:rPr>
          <w:color w:val="000000" w:themeColor="text1"/>
        </w:rPr>
        <w:t xml:space="preserve">’ of society” (p. 2-3). From this male victimhood comes aggrieved masculinities. “Aggrieved entitlement” is believed to stem from the perceived disadvantages that men face in society as some of the privileges their fathers and grandfathers were afforded have since been taken away (Kimmel, 2017, quoted in Baker, Ging and Andreasen, 2024, p. 34). These ‘losses’ are deemed to have been due to women’s gains in gender equality (Kimmel, 2017, cited in </w:t>
      </w:r>
      <w:proofErr w:type="spellStart"/>
      <w:r w:rsidRPr="00742C01">
        <w:rPr>
          <w:color w:val="000000" w:themeColor="text1"/>
        </w:rPr>
        <w:t>Haslop</w:t>
      </w:r>
      <w:proofErr w:type="spellEnd"/>
      <w:r w:rsidRPr="00742C01">
        <w:rPr>
          <w:color w:val="000000" w:themeColor="text1"/>
        </w:rPr>
        <w:t xml:space="preserve"> et al., 2024, p. 6).  I have touched upon what Tanner and </w:t>
      </w:r>
      <w:proofErr w:type="spellStart"/>
      <w:r w:rsidRPr="00742C01">
        <w:rPr>
          <w:color w:val="000000" w:themeColor="text1"/>
        </w:rPr>
        <w:t>Gillardin</w:t>
      </w:r>
      <w:proofErr w:type="spellEnd"/>
      <w:r w:rsidRPr="00742C01">
        <w:rPr>
          <w:color w:val="000000" w:themeColor="text1"/>
        </w:rPr>
        <w:t xml:space="preserve"> (2025, p. 7) call the “masculinity crisis” but want to expand further with how this links with aggrieved entitlement. They argue that it is the positioning as victims which is important when discussing the ‘crisis’. </w:t>
      </w:r>
      <w:proofErr w:type="spellStart"/>
      <w:r w:rsidRPr="00742C01">
        <w:rPr>
          <w:color w:val="000000" w:themeColor="text1"/>
        </w:rPr>
        <w:t>Haslop</w:t>
      </w:r>
      <w:proofErr w:type="spellEnd"/>
      <w:r w:rsidRPr="00742C01">
        <w:rPr>
          <w:color w:val="000000" w:themeColor="text1"/>
        </w:rPr>
        <w:t xml:space="preserve"> et al. (2024, p. 7) found the opinions in their focus groups, made up of teenage boys, were that gender equality and inclusivity are unfair to men. This ‘crisis narrative’ that men and masculinity are under threat due to feminism and women-central legal systems was found to be the most dominant talking point amplified by manosphere influencers such as Tate (Baker, Ging and Andreasen, 2024, p. 30). Themes of aggrieved masculinity and victimhood link with the concept of hybrid masculinity which will be discussed next.</w:t>
      </w:r>
    </w:p>
    <w:p w14:paraId="74099F51" w14:textId="732371ED"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The concept of hybrid masculinity, developed by Ging (2019) and expanded upon by Fowler (2025), explains how men within the manosphere strategically position themselves as victims of feminism while still benefiting from hegemonic masculinity. Ging (2019, cited in Fowler, 2025, p. 7) explains that men adopt hegemonic masculinity when it suits them, and distance themselves from it when they want to claim social marginalisation. Because they get to decide when to perform hegemonic masculinity, it could be claimed that they still reap the benefits of gendered power dynamics. Fowler’s (2025, p.13) findings suggest that men performing hybrid masculinity can strategically appear outside of hegemonic masculinity by casting themselves as the victims which excuses and normalises misogyny. This theory is interesting as it could suggest contradictions within the manosphere ideology and how these are presented through different reactions and behaviours. Hybrid masculinity provides a </w:t>
      </w:r>
      <w:r w:rsidRPr="00742C01">
        <w:rPr>
          <w:color w:val="000000" w:themeColor="text1"/>
        </w:rPr>
        <w:lastRenderedPageBreak/>
        <w:t xml:space="preserve">concept which interweaves themes of victimhood and aggrievement. This legitimisation process of misogyny is linked to masculinism. </w:t>
      </w:r>
    </w:p>
    <w:p w14:paraId="7708012A" w14:textId="1EFA7491" w:rsidR="1ABABFF0" w:rsidRPr="00742C01" w:rsidRDefault="0FFFD84E"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Roberts et al. apply Nicholas and Agius’s (2018, cited in Robert et al., 2025, p. 3) concept of masculinism to Tate’s written discourses to explain the “logics that allow for explicit gender hierarchies”. Masculinism is the ideology of masculine superiority which extends gendered meanings to phenomena in society, which otherwise have nothing to do with gender (Nicholas and Agius, 2018, cited in Roberts et al., 2025, p. 6). This concept is useful when understanding how gender roles </w:t>
      </w:r>
      <w:r w:rsidR="00440CFD" w:rsidRPr="00742C01">
        <w:rPr>
          <w:color w:val="000000" w:themeColor="text1"/>
        </w:rPr>
        <w:t xml:space="preserve">are </w:t>
      </w:r>
      <w:r w:rsidRPr="00742C01">
        <w:rPr>
          <w:color w:val="000000" w:themeColor="text1"/>
        </w:rPr>
        <w:t xml:space="preserve">seen through a lens of victimhood and aggrievement. Roberts et al.’s (2025) empirically and theoretically driven analysis of Tate’s written content is important research to this dissertation. Especially their argument that masculinism protects and legitimises hegemonic masculinity when it perceives it is being attacked by social change, such as the rise in feminism and the ‘crisis of masculinity’ (Roberts et al., 2025). What they call “ontological insecurity among boys and men” to live up to the tenets of order of “hierarchy, tradition, individualism, essentialism” is significant (p. 20). The narrative of entitlements being eroded can be useful in analysing Jamie’s discourse in </w:t>
      </w:r>
      <w:r w:rsidR="00600D7C" w:rsidRPr="00742C01">
        <w:rPr>
          <w:i/>
          <w:iCs/>
          <w:color w:val="000000" w:themeColor="text1"/>
        </w:rPr>
        <w:t>Adolescence</w:t>
      </w:r>
      <w:r w:rsidRPr="00742C01">
        <w:rPr>
          <w:color w:val="000000" w:themeColor="text1"/>
        </w:rPr>
        <w:t xml:space="preserve"> and the reasoning behind how these entitlements can be regained could prove insightful in analysing the Tate podcast.</w:t>
      </w:r>
    </w:p>
    <w:p w14:paraId="630253B3" w14:textId="50D70562" w:rsidR="1ABABFF0" w:rsidRPr="00742C01" w:rsidRDefault="0FFFD84E" w:rsidP="00455404">
      <w:pPr>
        <w:spacing w:after="0" w:line="360" w:lineRule="auto"/>
        <w:ind w:firstLine="720"/>
        <w:jc w:val="both"/>
        <w:rPr>
          <w:color w:val="000000" w:themeColor="text1"/>
        </w:rPr>
      </w:pPr>
      <w:r w:rsidRPr="00742C01">
        <w:rPr>
          <w:color w:val="000000" w:themeColor="text1"/>
        </w:rPr>
        <w:t xml:space="preserve">It is possible to see real world examples of this legitimisation of misogyny in the </w:t>
      </w:r>
      <w:proofErr w:type="spellStart"/>
      <w:r w:rsidRPr="00742C01">
        <w:rPr>
          <w:color w:val="000000" w:themeColor="text1"/>
        </w:rPr>
        <w:t>Haslop</w:t>
      </w:r>
      <w:proofErr w:type="spellEnd"/>
      <w:r w:rsidRPr="00742C01">
        <w:rPr>
          <w:color w:val="000000" w:themeColor="text1"/>
        </w:rPr>
        <w:t xml:space="preserve"> et al. (2024) study. They used discourse and content analysis of Tate’s videos posted to YouTube and orchestrated a focus group of boys aged thirteen to fourteen living in London. </w:t>
      </w:r>
      <w:proofErr w:type="spellStart"/>
      <w:r w:rsidRPr="00742C01">
        <w:rPr>
          <w:color w:val="000000" w:themeColor="text1"/>
        </w:rPr>
        <w:t>Haslop</w:t>
      </w:r>
      <w:proofErr w:type="spellEnd"/>
      <w:r w:rsidRPr="00742C01">
        <w:rPr>
          <w:color w:val="000000" w:themeColor="text1"/>
        </w:rPr>
        <w:t xml:space="preserve"> et al. (p. 1) contribute new theoretical perspectives on the way emotion and affect can work as homosocial currencies to actualise hegemonic masculinity and normalise misogyny. Homosocial currencies refer to the social currency that boys get when sharing Tate’s videos and discussing his ideas: they can ‘prove’ their masculinity and gain respect from peers. Fowler (2025, p.7) and </w:t>
      </w:r>
      <w:proofErr w:type="spellStart"/>
      <w:r w:rsidRPr="00742C01">
        <w:rPr>
          <w:color w:val="000000" w:themeColor="text1"/>
        </w:rPr>
        <w:t>Haslop</w:t>
      </w:r>
      <w:proofErr w:type="spellEnd"/>
      <w:r w:rsidRPr="00742C01">
        <w:rPr>
          <w:color w:val="000000" w:themeColor="text1"/>
        </w:rPr>
        <w:t xml:space="preserve"> et al. (2024, p. 5) argue affective and emotional dimensions of hegemonic masculinity as homosocial currencies reinforce misogyny but also provide a sense of belonging and status among their peers. Therefore, </w:t>
      </w:r>
      <w:proofErr w:type="spellStart"/>
      <w:r w:rsidRPr="00742C01">
        <w:rPr>
          <w:color w:val="000000" w:themeColor="text1"/>
        </w:rPr>
        <w:t>Haslop</w:t>
      </w:r>
      <w:proofErr w:type="spellEnd"/>
      <w:r w:rsidRPr="00742C01">
        <w:rPr>
          <w:color w:val="000000" w:themeColor="text1"/>
        </w:rPr>
        <w:t xml:space="preserve"> et al. (p. 6) argue that Tate’s means of playing on these emotional and affective homosocial currencies resonated with how some of the boys in their study reacted to his content and to how they saw gender equality. Tanner and </w:t>
      </w:r>
      <w:proofErr w:type="spellStart"/>
      <w:r w:rsidRPr="00742C01">
        <w:rPr>
          <w:color w:val="000000" w:themeColor="text1"/>
        </w:rPr>
        <w:t>Gillardin</w:t>
      </w:r>
      <w:proofErr w:type="spellEnd"/>
      <w:r w:rsidRPr="00742C01">
        <w:rPr>
          <w:color w:val="000000" w:themeColor="text1"/>
        </w:rPr>
        <w:t xml:space="preserve"> (2025, p. 7) support this claim as they observed TikTok ‘sigma’ videos were broadcasting gendered disinformation and acted as homosocial currencies. Something </w:t>
      </w:r>
      <w:r w:rsidRPr="00742C01">
        <w:rPr>
          <w:color w:val="000000" w:themeColor="text1"/>
        </w:rPr>
        <w:lastRenderedPageBreak/>
        <w:t xml:space="preserve">that is highlighted in research as being a reason as to why they get involved in the manosphere in the first place is the need for a sense of belonging due to loneliness. </w:t>
      </w:r>
    </w:p>
    <w:p w14:paraId="54926A09" w14:textId="7E0E7B73" w:rsidR="1ABABFF0" w:rsidRPr="00742C01" w:rsidRDefault="0FFFD84E" w:rsidP="00455404">
      <w:pPr>
        <w:spacing w:after="0" w:line="360" w:lineRule="auto"/>
        <w:ind w:firstLine="720"/>
        <w:jc w:val="both"/>
        <w:rPr>
          <w:color w:val="000000" w:themeColor="text1"/>
        </w:rPr>
      </w:pPr>
      <w:r w:rsidRPr="00742C01">
        <w:rPr>
          <w:color w:val="000000" w:themeColor="text1"/>
        </w:rPr>
        <w:t xml:space="preserve">Ofcom (2025, p. 50) claims that most of the participants in their study demonstrated critical thinking about what they saw online. However, they also claim that in some cases where the manosphere provided a strong sense of community, participants became “less likely to challenge and more likely to be influenced” (p.50). This evidence raises concerns because if the people accessing the content are children, or lonely, they are less likely to “critically engage” and simply be influenced by whoever is posting, such as Tate. The same thinking can be applied to the use of misogyny as a homosocial currency, because it allows people to engage with a community and feel a sense of belonging. Fowler (2025, p. 5) agrees as she found that “supportive masculine relationships on the [MGTOW] forum created a welcome atmosphere” and provided an “antidote to male loneliness”. This research paired with Ofcom’s (2025, p. 57) that found that people’s view </w:t>
      </w:r>
      <w:proofErr w:type="gramStart"/>
      <w:r w:rsidRPr="00742C01">
        <w:rPr>
          <w:color w:val="000000" w:themeColor="text1"/>
        </w:rPr>
        <w:t>are</w:t>
      </w:r>
      <w:proofErr w:type="gramEnd"/>
      <w:r w:rsidRPr="00742C01">
        <w:rPr>
          <w:color w:val="000000" w:themeColor="text1"/>
        </w:rPr>
        <w:t xml:space="preserve"> shaped more easily if they are part of the manosphere for community, means it is evident to see how extreme male supremacist rhetoric is disguised as an appealing narrative (Fowler, 2025, p. 5). </w:t>
      </w:r>
    </w:p>
    <w:p w14:paraId="1DFFC85E" w14:textId="2D3FDD8F" w:rsidR="1ABABFF0" w:rsidRPr="00742C01" w:rsidRDefault="0FFFD84E" w:rsidP="00455404">
      <w:pPr>
        <w:shd w:val="clear" w:color="auto" w:fill="FFFFFF" w:themeFill="background1"/>
        <w:spacing w:after="0" w:line="360" w:lineRule="auto"/>
        <w:ind w:firstLine="720"/>
        <w:jc w:val="both"/>
        <w:rPr>
          <w:color w:val="000000" w:themeColor="text1"/>
        </w:rPr>
      </w:pPr>
      <w:proofErr w:type="gramStart"/>
      <w:r w:rsidRPr="00742C01">
        <w:rPr>
          <w:color w:val="000000" w:themeColor="text1"/>
        </w:rPr>
        <w:t>In light of</w:t>
      </w:r>
      <w:proofErr w:type="gramEnd"/>
      <w:r w:rsidRPr="00742C01">
        <w:rPr>
          <w:color w:val="000000" w:themeColor="text1"/>
        </w:rPr>
        <w:t xml:space="preserve"> the literature review, there are gaps in knowledge that my question will help to address. Firstly, methodologically, when participants are asked questions, it could lead to dishonest or misrepresented answers</w:t>
      </w:r>
      <w:r w:rsidR="00EA6094" w:rsidRPr="00742C01">
        <w:rPr>
          <w:color w:val="000000" w:themeColor="text1"/>
        </w:rPr>
        <w:t>.</w:t>
      </w:r>
      <w:r w:rsidRPr="00742C01">
        <w:rPr>
          <w:color w:val="000000" w:themeColor="text1"/>
        </w:rPr>
        <w:t xml:space="preserve"> The Ofcom (2025) report is useful in defining key manosphere term</w:t>
      </w:r>
      <w:r w:rsidR="009F36E5" w:rsidRPr="00742C01">
        <w:rPr>
          <w:color w:val="000000" w:themeColor="text1"/>
        </w:rPr>
        <w:t>s,</w:t>
      </w:r>
      <w:r w:rsidRPr="00742C01">
        <w:rPr>
          <w:color w:val="000000" w:themeColor="text1"/>
        </w:rPr>
        <w:t xml:space="preserve"> </w:t>
      </w:r>
      <w:r w:rsidR="009F36E5" w:rsidRPr="00742C01">
        <w:rPr>
          <w:color w:val="000000" w:themeColor="text1"/>
        </w:rPr>
        <w:t>h</w:t>
      </w:r>
      <w:r w:rsidRPr="00742C01">
        <w:rPr>
          <w:color w:val="000000" w:themeColor="text1"/>
        </w:rPr>
        <w:t xml:space="preserve">owever, possible participants mistrusted “mainstream” organisations and due to it being made up of a self-selecting sample, it is possible those with more extreme views would have been reluctant to </w:t>
      </w:r>
      <w:r w:rsidR="009B4952" w:rsidRPr="00742C01">
        <w:rPr>
          <w:color w:val="000000" w:themeColor="text1"/>
        </w:rPr>
        <w:t>take part</w:t>
      </w:r>
      <w:r w:rsidRPr="00742C01">
        <w:rPr>
          <w:color w:val="000000" w:themeColor="text1"/>
        </w:rPr>
        <w:t xml:space="preserve"> (Ofcom, 2025, p.3). Similarly, in Fowler’s (2025) study, participants </w:t>
      </w:r>
      <w:r w:rsidR="00E77E6A" w:rsidRPr="00742C01">
        <w:rPr>
          <w:color w:val="000000" w:themeColor="text1"/>
        </w:rPr>
        <w:t>in a study</w:t>
      </w:r>
      <w:r w:rsidRPr="00742C01">
        <w:rPr>
          <w:color w:val="000000" w:themeColor="text1"/>
        </w:rPr>
        <w:t xml:space="preserve">; therefore, they could be providing distorted data. Therefore, in this dissertation, by studying Tate’s </w:t>
      </w:r>
      <w:r w:rsidR="00E77E6A" w:rsidRPr="00742C01">
        <w:rPr>
          <w:color w:val="000000" w:themeColor="text1"/>
        </w:rPr>
        <w:t>discourse</w:t>
      </w:r>
      <w:r w:rsidRPr="00742C01">
        <w:rPr>
          <w:color w:val="000000" w:themeColor="text1"/>
        </w:rPr>
        <w:t xml:space="preserve"> in a podcast</w:t>
      </w:r>
      <w:r w:rsidR="00E77E6A" w:rsidRPr="00742C01">
        <w:rPr>
          <w:color w:val="000000" w:themeColor="text1"/>
        </w:rPr>
        <w:t xml:space="preserve"> where </w:t>
      </w:r>
      <w:r w:rsidRPr="00742C01">
        <w:rPr>
          <w:color w:val="000000" w:themeColor="text1"/>
        </w:rPr>
        <w:t xml:space="preserve">he does not know his words are going to be analysed, it could mean it will provide more authentic analysis. The literature is extensive on the different types of masculinities, and the gender roles men are expected to play in society, but there are gaps about how women’s gender roles are presented. Ging (2019) and </w:t>
      </w:r>
      <w:proofErr w:type="spellStart"/>
      <w:r w:rsidRPr="00742C01">
        <w:rPr>
          <w:color w:val="000000" w:themeColor="text1"/>
        </w:rPr>
        <w:t>Haslop</w:t>
      </w:r>
      <w:proofErr w:type="spellEnd"/>
      <w:r w:rsidRPr="00742C01">
        <w:rPr>
          <w:color w:val="000000" w:themeColor="text1"/>
        </w:rPr>
        <w:t xml:space="preserve"> et al. (2024) </w:t>
      </w:r>
      <w:r w:rsidR="00832D82" w:rsidRPr="00742C01">
        <w:rPr>
          <w:color w:val="000000" w:themeColor="text1"/>
        </w:rPr>
        <w:t>both</w:t>
      </w:r>
      <w:r w:rsidRPr="00742C01">
        <w:rPr>
          <w:color w:val="000000" w:themeColor="text1"/>
        </w:rPr>
        <w:t xml:space="preserve"> used discourse analysis, however more analysis </w:t>
      </w:r>
      <w:r w:rsidR="00832D82" w:rsidRPr="00742C01">
        <w:rPr>
          <w:color w:val="000000" w:themeColor="text1"/>
        </w:rPr>
        <w:t>like</w:t>
      </w:r>
      <w:r w:rsidRPr="00742C01">
        <w:rPr>
          <w:color w:val="000000" w:themeColor="text1"/>
        </w:rPr>
        <w:t xml:space="preserve"> </w:t>
      </w:r>
      <w:proofErr w:type="gramStart"/>
      <w:r w:rsidRPr="00742C01">
        <w:rPr>
          <w:color w:val="000000" w:themeColor="text1"/>
        </w:rPr>
        <w:t>thi</w:t>
      </w:r>
      <w:r w:rsidR="00832D82" w:rsidRPr="00742C01">
        <w:rPr>
          <w:color w:val="000000" w:themeColor="text1"/>
        </w:rPr>
        <w:t xml:space="preserve">s </w:t>
      </w:r>
      <w:r w:rsidRPr="00742C01">
        <w:rPr>
          <w:color w:val="000000" w:themeColor="text1"/>
        </w:rPr>
        <w:t xml:space="preserve"> would</w:t>
      </w:r>
      <w:proofErr w:type="gramEnd"/>
      <w:r w:rsidRPr="00742C01">
        <w:rPr>
          <w:color w:val="000000" w:themeColor="text1"/>
        </w:rPr>
        <w:t xml:space="preserve"> be useful in highlighting the deeper meaning behind what the manosphere presents.  There is research which analyses the spread of manosphere ideologies on social media websites and forums, such as MGTOW, Reddit, TikTok and Telegram, however, there is not a lot about YouTube podcasts. Furthermore, there is a lack of research done on the representations found in </w:t>
      </w:r>
      <w:r w:rsidRPr="00742C01">
        <w:rPr>
          <w:i/>
          <w:iCs/>
          <w:color w:val="000000" w:themeColor="text1"/>
        </w:rPr>
        <w:t>Adolescence</w:t>
      </w:r>
      <w:r w:rsidRPr="00742C01">
        <w:rPr>
          <w:color w:val="000000" w:themeColor="text1"/>
        </w:rPr>
        <w:t>, possibly because it is</w:t>
      </w:r>
      <w:r w:rsidR="00832D82" w:rsidRPr="00742C01">
        <w:rPr>
          <w:color w:val="000000" w:themeColor="text1"/>
        </w:rPr>
        <w:t xml:space="preserve"> </w:t>
      </w:r>
      <w:r w:rsidRPr="00742C01">
        <w:rPr>
          <w:color w:val="000000" w:themeColor="text1"/>
        </w:rPr>
        <w:t xml:space="preserve">a new </w:t>
      </w:r>
      <w:r w:rsidR="00832D82" w:rsidRPr="00742C01">
        <w:rPr>
          <w:color w:val="000000" w:themeColor="text1"/>
        </w:rPr>
        <w:t>programme</w:t>
      </w:r>
      <w:r w:rsidRPr="00742C01">
        <w:rPr>
          <w:color w:val="000000" w:themeColor="text1"/>
        </w:rPr>
        <w:t xml:space="preserve">. However, I seek to address this </w:t>
      </w:r>
      <w:r w:rsidRPr="00742C01">
        <w:rPr>
          <w:color w:val="000000" w:themeColor="text1"/>
        </w:rPr>
        <w:lastRenderedPageBreak/>
        <w:t xml:space="preserve">empirical gap in research of fictional representations of the manosphere by analysing </w:t>
      </w:r>
      <w:r w:rsidRPr="00742C01">
        <w:rPr>
          <w:i/>
          <w:iCs/>
          <w:color w:val="000000" w:themeColor="text1"/>
        </w:rPr>
        <w:t>Adolescence</w:t>
      </w:r>
      <w:r w:rsidRPr="00742C01">
        <w:rPr>
          <w:color w:val="000000" w:themeColor="text1"/>
        </w:rPr>
        <w:t xml:space="preserve">. Finally, there is research surrounding the reproductive service the manosphere ideology expects women </w:t>
      </w:r>
      <w:r w:rsidR="00ED05E1" w:rsidRPr="00742C01">
        <w:rPr>
          <w:color w:val="000000" w:themeColor="text1"/>
        </w:rPr>
        <w:t>of women</w:t>
      </w:r>
      <w:r w:rsidRPr="00742C01">
        <w:rPr>
          <w:color w:val="000000" w:themeColor="text1"/>
        </w:rPr>
        <w:t>, but there is a lack of information about the more nuanced roles that the manosphere expect women to play in society.</w:t>
      </w:r>
    </w:p>
    <w:p w14:paraId="22205BBE" w14:textId="29B7D29E" w:rsidR="0FFFD84E" w:rsidRPr="00742C01" w:rsidRDefault="0FFFD84E" w:rsidP="00455404">
      <w:pPr>
        <w:shd w:val="clear" w:color="auto" w:fill="FFFFFF" w:themeFill="background1"/>
        <w:spacing w:before="75" w:after="225" w:line="360" w:lineRule="auto"/>
        <w:ind w:firstLine="720"/>
        <w:jc w:val="both"/>
        <w:rPr>
          <w:color w:val="000000" w:themeColor="text1"/>
        </w:rPr>
      </w:pPr>
      <w:r w:rsidRPr="00742C01">
        <w:rPr>
          <w:color w:val="000000" w:themeColor="text1"/>
        </w:rPr>
        <w:t xml:space="preserve">Below, I unpack the interlinking themes of aggrieved entitlement, homosocial currencies and masculinism drawing upon the literature above in relation to my data. The first theme of victimhood found in my analysis expands upon </w:t>
      </w:r>
      <w:proofErr w:type="spellStart"/>
      <w:r w:rsidRPr="00742C01">
        <w:rPr>
          <w:color w:val="000000" w:themeColor="text1"/>
        </w:rPr>
        <w:t>Haslop</w:t>
      </w:r>
      <w:proofErr w:type="spellEnd"/>
      <w:r w:rsidRPr="00742C01">
        <w:rPr>
          <w:color w:val="000000" w:themeColor="text1"/>
        </w:rPr>
        <w:t xml:space="preserve"> et al.’s (2024) masculinist concept as a way of blaming women for men’s ills and I highlight the contradictions found within behaviours and reactions which portray hybrid masculinities (Ging, 2019; Fowler, 2025). Secondly, I analyse how the manosphere presents women’s gender roles as being of service to men emotionally and reproductively, which supports the theories of aggrieved masculinities, claimed by </w:t>
      </w:r>
      <w:proofErr w:type="spellStart"/>
      <w:r w:rsidRPr="00742C01">
        <w:rPr>
          <w:color w:val="000000" w:themeColor="text1"/>
        </w:rPr>
        <w:t>Haslop</w:t>
      </w:r>
      <w:proofErr w:type="spellEnd"/>
      <w:r w:rsidRPr="00742C01">
        <w:rPr>
          <w:color w:val="000000" w:themeColor="text1"/>
        </w:rPr>
        <w:t xml:space="preserve"> et al. (2024) and Baker, Ging and Andreasen (2024), when the expectations of these roles are not met. Finally, I analyse representations of emotion expanding upon Tanner and </w:t>
      </w:r>
      <w:proofErr w:type="spellStart"/>
      <w:r w:rsidRPr="00742C01">
        <w:rPr>
          <w:color w:val="000000" w:themeColor="text1"/>
        </w:rPr>
        <w:t>Gillardin’s</w:t>
      </w:r>
      <w:proofErr w:type="spellEnd"/>
      <w:r w:rsidRPr="00742C01">
        <w:rPr>
          <w:color w:val="000000" w:themeColor="text1"/>
        </w:rPr>
        <w:t xml:space="preserve"> (2025) theory of anti-femininity found in manosphere discourse. I depict how gender roles within manosphere representations are contradictory and complex, but first I will explain my methodology.</w:t>
      </w:r>
    </w:p>
    <w:p w14:paraId="3E655372" w14:textId="083EFD2C" w:rsidR="00815563" w:rsidRPr="00742C01" w:rsidRDefault="04C70775" w:rsidP="00245FC3">
      <w:pPr>
        <w:pStyle w:val="Heading1"/>
        <w:rPr>
          <w:rFonts w:eastAsiaTheme="minorEastAsia"/>
        </w:rPr>
      </w:pPr>
      <w:bookmarkStart w:id="6" w:name="_Toc465478308"/>
      <w:bookmarkStart w:id="7" w:name="_Toc230797951"/>
      <w:bookmarkStart w:id="8" w:name="_Toc230802000"/>
      <w:r w:rsidRPr="00742C01">
        <w:rPr>
          <w:rFonts w:eastAsiaTheme="minorEastAsia"/>
        </w:rPr>
        <w:t>Methods</w:t>
      </w:r>
      <w:bookmarkEnd w:id="6"/>
      <w:bookmarkEnd w:id="7"/>
      <w:bookmarkEnd w:id="8"/>
    </w:p>
    <w:p w14:paraId="2D3F9FB4" w14:textId="51354E29" w:rsidR="00815563" w:rsidRPr="00742C01" w:rsidRDefault="00815563" w:rsidP="00455404">
      <w:pPr>
        <w:spacing w:line="360" w:lineRule="auto"/>
        <w:ind w:firstLine="720"/>
        <w:jc w:val="both"/>
      </w:pPr>
      <w:r w:rsidRPr="00742C01">
        <w:t>I chose two qualitative sources to analyse</w:t>
      </w:r>
      <w:r w:rsidR="00743CC0" w:rsidRPr="00742C01">
        <w:t xml:space="preserve"> </w:t>
      </w:r>
      <w:r w:rsidR="00271406" w:rsidRPr="00742C01">
        <w:t xml:space="preserve">to answer </w:t>
      </w:r>
      <w:r w:rsidRPr="00742C01">
        <w:t>how manosphere ideologies surrounding gender roles are represented. Tate’s discourse was</w:t>
      </w:r>
      <w:r w:rsidR="00271406" w:rsidRPr="00742C01">
        <w:t xml:space="preserve"> </w:t>
      </w:r>
      <w:r w:rsidRPr="00742C01">
        <w:t>chosen because he is the globe’s most prolific </w:t>
      </w:r>
      <w:proofErr w:type="spellStart"/>
      <w:r w:rsidRPr="00742C01">
        <w:t>manfluencer</w:t>
      </w:r>
      <w:proofErr w:type="spellEnd"/>
      <w:r w:rsidRPr="00742C01">
        <w:t>, has amassed a following of 10 million on the social media platform X and videos on TikTok with the Tate hashtag have been viewed over 13 billion times by mid-2023, even though he is banned (Oppenheim, 2023, cited in Roberts et al., 2025, p. 2). I chose a YouTube video podcast because it is one of the most popular sites among young people for watching video content (Ofcom, 2022, cited in </w:t>
      </w:r>
      <w:proofErr w:type="spellStart"/>
      <w:r w:rsidRPr="00742C01">
        <w:t>Haslop</w:t>
      </w:r>
      <w:proofErr w:type="spellEnd"/>
      <w:r w:rsidRPr="00742C01">
        <w:t xml:space="preserve"> et. al., 2024). I searched </w:t>
      </w:r>
      <w:r w:rsidR="004037FF" w:rsidRPr="00742C01">
        <w:t>‘</w:t>
      </w:r>
      <w:r w:rsidRPr="00742C01">
        <w:t>Andrew Tate and gender roles</w:t>
      </w:r>
      <w:r w:rsidR="004037FF" w:rsidRPr="00742C01">
        <w:t>’</w:t>
      </w:r>
      <w:r w:rsidRPr="00742C01">
        <w:t xml:space="preserve"> and found a video entitled ‘Andrew Tate on the Role of WOMEN in Society’</w:t>
      </w:r>
      <w:r w:rsidR="00B62306" w:rsidRPr="00742C01">
        <w:t>, uploaded by Frankie Lee, who is an influencer with over 50,000</w:t>
      </w:r>
      <w:r w:rsidR="002A541F" w:rsidRPr="00742C01">
        <w:t xml:space="preserve"> subscribers</w:t>
      </w:r>
      <w:r w:rsidR="004037FF" w:rsidRPr="00742C01">
        <w:t xml:space="preserve"> (Lee, 2025)</w:t>
      </w:r>
      <w:r w:rsidRPr="00742C01">
        <w:t xml:space="preserve">. I decided that this </w:t>
      </w:r>
      <w:r w:rsidR="004037FF" w:rsidRPr="00742C01">
        <w:t>video provided the</w:t>
      </w:r>
      <w:r w:rsidRPr="00742C01">
        <w:t xml:space="preserve"> most useful information about what Tate believed about gender roles</w:t>
      </w:r>
      <w:r w:rsidR="002A541F" w:rsidRPr="00742C01">
        <w:t xml:space="preserve">. </w:t>
      </w:r>
      <w:r w:rsidRPr="00742C01">
        <w:t xml:space="preserve">The video was available to watch at the time of data </w:t>
      </w:r>
      <w:r w:rsidRPr="00742C01">
        <w:lastRenderedPageBreak/>
        <w:t>collection and</w:t>
      </w:r>
      <w:r w:rsidR="00FD6797" w:rsidRPr="00742C01">
        <w:t xml:space="preserve"> transcript download</w:t>
      </w:r>
      <w:r w:rsidRPr="00742C01">
        <w:t>, however</w:t>
      </w:r>
      <w:r w:rsidR="00104B41" w:rsidRPr="00742C01">
        <w:t xml:space="preserve">, </w:t>
      </w:r>
      <w:r w:rsidRPr="00742C01">
        <w:t>at the time of writing up my findings and discussion section, the video has been made private.  </w:t>
      </w:r>
    </w:p>
    <w:p w14:paraId="28F3C4A9" w14:textId="331B6CC2" w:rsidR="00815563" w:rsidRPr="00742C01" w:rsidRDefault="682EC128" w:rsidP="00455404">
      <w:pPr>
        <w:spacing w:line="360" w:lineRule="auto"/>
        <w:ind w:firstLine="720"/>
        <w:jc w:val="both"/>
      </w:pPr>
      <w:r w:rsidRPr="00742C01">
        <w:rPr>
          <w:color w:val="000000" w:themeColor="text1"/>
        </w:rPr>
        <w:t xml:space="preserve">The second data set, </w:t>
      </w:r>
      <w:r w:rsidRPr="00742C01">
        <w:rPr>
          <w:i/>
          <w:color w:val="000000" w:themeColor="text1"/>
        </w:rPr>
        <w:t>Adolescence</w:t>
      </w:r>
      <w:r w:rsidRPr="00742C01">
        <w:rPr>
          <w:color w:val="000000" w:themeColor="text1"/>
        </w:rPr>
        <w:t xml:space="preserve"> was released on the </w:t>
      </w:r>
      <w:proofErr w:type="gramStart"/>
      <w:r w:rsidRPr="00742C01">
        <w:rPr>
          <w:color w:val="000000" w:themeColor="text1"/>
        </w:rPr>
        <w:t>13th</w:t>
      </w:r>
      <w:proofErr w:type="gramEnd"/>
      <w:r w:rsidRPr="00742C01">
        <w:rPr>
          <w:color w:val="000000" w:themeColor="text1"/>
        </w:rPr>
        <w:t xml:space="preserve"> March 2025 (Robinson, 2025) so it is a recent source to use. </w:t>
      </w:r>
      <w:r w:rsidR="05B5450D" w:rsidRPr="00742C01">
        <w:t xml:space="preserve">It provides an </w:t>
      </w:r>
      <w:r w:rsidR="00815563" w:rsidRPr="00742C01">
        <w:t>interesting point of view to explore </w:t>
      </w:r>
      <w:r w:rsidR="00585ACF" w:rsidRPr="00742C01">
        <w:t>as</w:t>
      </w:r>
      <w:r w:rsidR="00815563" w:rsidRPr="00742C01">
        <w:t xml:space="preserve"> it is fictional and portray</w:t>
      </w:r>
      <w:r w:rsidR="00585ACF" w:rsidRPr="00742C01">
        <w:t>s representations</w:t>
      </w:r>
      <w:r w:rsidR="00815563" w:rsidRPr="00742C01">
        <w:t xml:space="preserve"> of the manosphere from the</w:t>
      </w:r>
      <w:r w:rsidR="00585ACF" w:rsidRPr="00742C01">
        <w:t xml:space="preserve"> perspective</w:t>
      </w:r>
      <w:r w:rsidR="00815563" w:rsidRPr="00742C01">
        <w:t xml:space="preserve"> of a child. Jack Thorne, the shows writer,</w:t>
      </w:r>
      <w:r w:rsidR="00585ACF" w:rsidRPr="00742C01">
        <w:t xml:space="preserve"> is </w:t>
      </w:r>
      <w:r w:rsidR="00815563" w:rsidRPr="00742C01">
        <w:t>calling for the government to take </w:t>
      </w:r>
      <w:r w:rsidR="00585ACF" w:rsidRPr="00742C01">
        <w:t>“</w:t>
      </w:r>
      <w:r w:rsidR="00815563" w:rsidRPr="00742C01">
        <w:t>radical action</w:t>
      </w:r>
      <w:r w:rsidR="00585ACF" w:rsidRPr="00742C01">
        <w:t>”</w:t>
      </w:r>
      <w:r w:rsidR="00815563" w:rsidRPr="00742C01">
        <w:t> to help tackle the issues the programme raises (</w:t>
      </w:r>
      <w:r w:rsidR="4CE2078E" w:rsidRPr="00742C01">
        <w:t>Youngs</w:t>
      </w:r>
      <w:r w:rsidR="00815563" w:rsidRPr="00742C01">
        <w:t>, 2025). Following public concern about misogynistic online content, Prime Minister Keir Starmer supported the programme </w:t>
      </w:r>
      <w:r w:rsidR="00815563" w:rsidRPr="00742C01">
        <w:rPr>
          <w:i/>
        </w:rPr>
        <w:t>Adolescence</w:t>
      </w:r>
      <w:r w:rsidR="00815563" w:rsidRPr="00742C01">
        <w:t> being shown in schools to encourage discussion around misogyny and online influences (Netflix, 2025).</w:t>
      </w:r>
      <w:r w:rsidR="0036689F" w:rsidRPr="00742C01">
        <w:t xml:space="preserve"> </w:t>
      </w:r>
      <w:r w:rsidR="00815563" w:rsidRPr="00742C01">
        <w:t>I selected episode three of the series</w:t>
      </w:r>
      <w:r w:rsidR="0036689F" w:rsidRPr="00742C01">
        <w:t xml:space="preserve"> </w:t>
      </w:r>
      <w:r w:rsidR="00815563" w:rsidRPr="00742C01">
        <w:t>because </w:t>
      </w:r>
      <w:r w:rsidR="0036689F" w:rsidRPr="00742C01">
        <w:t>it</w:t>
      </w:r>
      <w:r w:rsidR="00815563" w:rsidRPr="00742C01">
        <w:t> mainly consists of an interview between a clinical psychologist, Briony, and the thirteen-year-old boy, Jamie, who has been arrested for the murder of a girl the same age, Katie. I believed that this episode was the most useful in helping to answer my question because the audience see</w:t>
      </w:r>
      <w:r w:rsidR="006269A0" w:rsidRPr="00742C01">
        <w:t>s</w:t>
      </w:r>
      <w:r w:rsidR="00815563" w:rsidRPr="00742C01">
        <w:t xml:space="preserve"> a conversation between Briony and Jamie</w:t>
      </w:r>
      <w:r w:rsidR="00785666" w:rsidRPr="00742C01">
        <w:t>. I</w:t>
      </w:r>
      <w:r w:rsidR="00815563" w:rsidRPr="00742C01">
        <w:t>t highlights what Jamie’s reasoning was for killing Katie which brought up themes about how he thought about himself and of Katie. I searched for the script online and found it uploaded to the website ‘Deadline’ (Andreeva, 2025). </w:t>
      </w:r>
    </w:p>
    <w:p w14:paraId="79C45A1E" w14:textId="50756830" w:rsidR="00815563" w:rsidRPr="00742C01" w:rsidRDefault="00815563" w:rsidP="00455404">
      <w:pPr>
        <w:spacing w:line="360" w:lineRule="auto"/>
        <w:ind w:firstLine="720"/>
        <w:jc w:val="both"/>
      </w:pPr>
      <w:r w:rsidRPr="00742C01">
        <w:t>Discourse analysis was appropriate for my research question because it allowed me to analyse the data keeping in mind outside structures and power relations like gender (Medien, 2025</w:t>
      </w:r>
      <w:r w:rsidR="72D40161" w:rsidRPr="00742C01">
        <w:t>b</w:t>
      </w:r>
      <w:r w:rsidRPr="00742C01">
        <w:t>, p.211). Discourse analysis is commonly used to analyse social texts as “artefacts that hold insights into cultural conventions, social trends, political ideologies and shared social meaning” (</w:t>
      </w:r>
      <w:r w:rsidR="0A596B3D" w:rsidRPr="00742C01">
        <w:t>Medien, 2025a</w:t>
      </w:r>
      <w:r w:rsidRPr="00742C01">
        <w:t>). It allowed me to show that language has different meanings in different contexts and therefore I could investigate the context of what Tate and Jamie’s words represented</w:t>
      </w:r>
      <w:r w:rsidR="00B2758E" w:rsidRPr="00742C01">
        <w:t>.</w:t>
      </w:r>
    </w:p>
    <w:p w14:paraId="405B6A32" w14:textId="13BB75E0" w:rsidR="00815563" w:rsidRPr="00742C01" w:rsidRDefault="00815563" w:rsidP="00455404">
      <w:pPr>
        <w:spacing w:line="360" w:lineRule="auto"/>
        <w:ind w:firstLine="720"/>
        <w:jc w:val="both"/>
      </w:pPr>
      <w:r w:rsidRPr="00742C01">
        <w:t>Firstly, using </w:t>
      </w:r>
      <w:proofErr w:type="spellStart"/>
      <w:r w:rsidRPr="00742C01">
        <w:t>Ehgartner’s</w:t>
      </w:r>
      <w:proofErr w:type="spellEnd"/>
      <w:r w:rsidRPr="00742C01">
        <w:t> (2021, quoted in Medien, 2025</w:t>
      </w:r>
      <w:r w:rsidR="723C8935" w:rsidRPr="00742C01">
        <w:t>b</w:t>
      </w:r>
      <w:r w:rsidRPr="00742C01">
        <w:t>) step-by-step guide to</w:t>
      </w:r>
      <w:r w:rsidR="00B2758E" w:rsidRPr="00742C01">
        <w:t xml:space="preserve"> </w:t>
      </w:r>
      <w:r w:rsidRPr="00742C01">
        <w:t>discourse analysis, I familiarised myself with both data sets visually by watching the videos, then printed each transcript out onto paper to start the coding process. The podcast was 16:40 minutes and I had originally decided to analyse the whole podcast, however when it came to coding, I realised that after 12:40 minutes I </w:t>
      </w:r>
      <w:r w:rsidR="00183558" w:rsidRPr="00742C01">
        <w:t xml:space="preserve">had </w:t>
      </w:r>
      <w:r w:rsidRPr="00742C01">
        <w:t xml:space="preserve">reached data </w:t>
      </w:r>
      <w:proofErr w:type="gramStart"/>
      <w:r w:rsidRPr="00742C01">
        <w:t>saturation</w:t>
      </w:r>
      <w:proofErr w:type="gramEnd"/>
      <w:r w:rsidRPr="00742C01">
        <w:t xml:space="preserve"> and no new themes were emerging. I chose to start analysing from the beginning of the podcast as I did not want to be selecting different parts of the podcast because I wanted what I analysed to be as fair as possible. For selecting the </w:t>
      </w:r>
      <w:r w:rsidRPr="00742C01">
        <w:rPr>
          <w:i/>
        </w:rPr>
        <w:t>Adolescence</w:t>
      </w:r>
      <w:r w:rsidRPr="00742C01">
        <w:t xml:space="preserve"> data, I firstly made notes throughout </w:t>
      </w:r>
      <w:r w:rsidRPr="00742C01">
        <w:lastRenderedPageBreak/>
        <w:t>watching the whole episode and loosely coded the content, the</w:t>
      </w:r>
      <w:r w:rsidR="00183558" w:rsidRPr="00742C01">
        <w:t>n</w:t>
      </w:r>
      <w:r w:rsidRPr="00742C01">
        <w:t xml:space="preserve"> I decided upon roughly 15 minutes of the episode which included the most codes and data that was appropriate. I analysed from 31:38 minutes to 45 minutes, however I used the written script to do this.  </w:t>
      </w:r>
    </w:p>
    <w:p w14:paraId="11C2A774" w14:textId="7245CB14" w:rsidR="00815563" w:rsidRPr="00742C01" w:rsidRDefault="00815563" w:rsidP="00455404">
      <w:pPr>
        <w:spacing w:line="360" w:lineRule="auto"/>
        <w:ind w:firstLine="720"/>
        <w:jc w:val="both"/>
      </w:pPr>
      <w:r w:rsidRPr="00742C01">
        <w:t xml:space="preserve">I generated codes from the data by highlighting key aspects and lines of inquiry. I used both researcher driven and data driven codes when analysing the data (Erel, 2025, p. 146). I used </w:t>
      </w:r>
      <w:r w:rsidR="00183558" w:rsidRPr="00742C01">
        <w:t>concepts I</w:t>
      </w:r>
      <w:r w:rsidRPr="00742C01">
        <w:t xml:space="preserve"> learnt during my literature review to inform my codes such as ‘incel behaviour’. </w:t>
      </w:r>
      <w:r w:rsidR="00653676" w:rsidRPr="00742C01">
        <w:t>F</w:t>
      </w:r>
      <w:r w:rsidRPr="00742C01">
        <w:t>rom my literature review, I was expecting ‘victimhood’ to be regular theme throughout the data. However, I also let the data inform other codes such as in the Tate podcast where a code was ‘women negatively impacting men – not providing children’. Certain lines of data were coded into multiple themes which brought about multiple lines of inquiry</w:t>
      </w:r>
      <w:r w:rsidR="00C256AE" w:rsidRPr="00742C01">
        <w:t xml:space="preserve"> which</w:t>
      </w:r>
      <w:r w:rsidRPr="00742C01">
        <w:t xml:space="preserve"> highlights that by using discourse analysis, there is variability as to how discourse can be interpreted and presented. Then, I searched for common themes within the codes for each data set and then between the two pieces of data (Erel, 2025, p. 149-154). I found themes in the </w:t>
      </w:r>
      <w:r w:rsidRPr="00742C01">
        <w:rPr>
          <w:i/>
          <w:iCs/>
        </w:rPr>
        <w:t>Adolescence</w:t>
      </w:r>
      <w:r w:rsidRPr="00742C01">
        <w:t xml:space="preserve"> data such as ‘perceived victimhood’. Certain themes from the</w:t>
      </w:r>
      <w:r w:rsidRPr="00742C01">
        <w:rPr>
          <w:i/>
          <w:iCs/>
        </w:rPr>
        <w:t> Adolescence</w:t>
      </w:r>
      <w:r w:rsidRPr="00742C01">
        <w:t> data such as ‘seeking reassurance’ when analysed in conjunction with the Tate themes such as ‘objectifying women’, were then reworked into overarching themes which suited both sets of data which finally became ‘women serving male </w:t>
      </w:r>
      <w:proofErr w:type="gramStart"/>
      <w:r w:rsidRPr="00742C01">
        <w:t>interests’</w:t>
      </w:r>
      <w:proofErr w:type="gramEnd"/>
      <w:r w:rsidRPr="00742C01">
        <w:t>. The ‘victimhood’ theme started with themes of ‘perceived victimhood’ which had subthemes of ‘victimhood - incel behaviour’ and ‘victimhood - women limit men’s genetic possibility’. Finally, I wrote up my findings to highlight the particular ways gender roles were discussed in the next section.  </w:t>
      </w:r>
    </w:p>
    <w:p w14:paraId="3299498E" w14:textId="214F6C31" w:rsidR="1ABABFF0" w:rsidRPr="00742C01" w:rsidRDefault="00815563" w:rsidP="00455404">
      <w:pPr>
        <w:spacing w:line="360" w:lineRule="auto"/>
        <w:ind w:firstLine="720"/>
        <w:jc w:val="both"/>
      </w:pPr>
      <w:r w:rsidRPr="00742C01">
        <w:t>There were important ethical considerations taking place throughout the analytical process. The analysis of the manosphere and my data could potentially cause harm because it is traumatic, distressing, sensitive and emotional. When it came to selecting my data, there was a risk of only choosing data which showed one point of view. I have been aware of my positionality as a feminist throughout this process and made sure to be balanced and show a fair representation of the data when choosing which extracts to analyse (Carter, 2025, p. 39-50). In addition, when analysing the </w:t>
      </w:r>
      <w:r w:rsidRPr="00742C01">
        <w:rPr>
          <w:i/>
        </w:rPr>
        <w:t>Adolescence</w:t>
      </w:r>
      <w:r w:rsidRPr="00742C01">
        <w:t xml:space="preserve"> data, certain considerations arose from it being a written script for television entertainment purposes. Because the questions Briony asks form part of the context in which Jamie answers, I will be analysing Jamie’s response but also providing what Briony asks to form the context. Likewise, with the </w:t>
      </w:r>
      <w:r w:rsidRPr="00742C01">
        <w:lastRenderedPageBreak/>
        <w:t>Tate podcast, if Lee has given his opinion, I will include it to show the context in which the answer was given and in certain examples, how the statements made by Lee can change the course of Tate’s argument. Because Tate is an influential, public figure, I can analyse his discourse because (at the time of data collection) the podcast was publicly available information, free to use and no consent was needed. Similarly, with </w:t>
      </w:r>
      <w:r w:rsidRPr="00742C01">
        <w:rPr>
          <w:i/>
        </w:rPr>
        <w:t>Adolescence</w:t>
      </w:r>
      <w:r w:rsidRPr="00742C01">
        <w:t> I am analysing fictional characters so do not need to obtain informed consent. Finally, the </w:t>
      </w:r>
      <w:r w:rsidRPr="00742C01">
        <w:rPr>
          <w:i/>
        </w:rPr>
        <w:t>Adolescence</w:t>
      </w:r>
      <w:r w:rsidRPr="00742C01">
        <w:t> script came with a copyright warning, however, I have permission to use it for my dissertation as “students may use limited extracts for non-commercial research or private study, provided they are enrolled in a module or course” (Carter, 2026).  </w:t>
      </w:r>
    </w:p>
    <w:p w14:paraId="48EB4289" w14:textId="515401D6" w:rsidR="00815563" w:rsidRPr="00742C01" w:rsidRDefault="2A0F16CF" w:rsidP="00245FC3">
      <w:pPr>
        <w:pStyle w:val="Heading1"/>
        <w:rPr>
          <w:rFonts w:eastAsiaTheme="minorEastAsia"/>
        </w:rPr>
      </w:pPr>
      <w:bookmarkStart w:id="9" w:name="_Toc794300143"/>
      <w:bookmarkStart w:id="10" w:name="_Toc230797952"/>
      <w:bookmarkStart w:id="11" w:name="_Toc230802001"/>
      <w:r w:rsidRPr="00742C01">
        <w:rPr>
          <w:rFonts w:eastAsiaTheme="minorEastAsia"/>
        </w:rPr>
        <w:t>Findings and Discussion</w:t>
      </w:r>
      <w:bookmarkEnd w:id="9"/>
      <w:bookmarkEnd w:id="10"/>
      <w:bookmarkEnd w:id="11"/>
    </w:p>
    <w:p w14:paraId="0406023A" w14:textId="7EF64613" w:rsidR="2A0F16CF" w:rsidRPr="00742C01" w:rsidRDefault="2A0F16CF" w:rsidP="00245FC3">
      <w:pPr>
        <w:pStyle w:val="Heading2"/>
        <w:rPr>
          <w:rFonts w:eastAsiaTheme="minorEastAsia"/>
        </w:rPr>
      </w:pPr>
      <w:bookmarkStart w:id="12" w:name="_Toc1161478468"/>
      <w:bookmarkStart w:id="13" w:name="_Toc230797953"/>
      <w:bookmarkStart w:id="14" w:name="_Toc230802002"/>
      <w:r w:rsidRPr="00742C01">
        <w:rPr>
          <w:rFonts w:eastAsiaTheme="minorEastAsia"/>
        </w:rPr>
        <w:t>Victimhood</w:t>
      </w:r>
      <w:bookmarkEnd w:id="12"/>
      <w:bookmarkEnd w:id="13"/>
      <w:bookmarkEnd w:id="14"/>
    </w:p>
    <w:p w14:paraId="18D7ED8C" w14:textId="329CB995" w:rsidR="2A0F16CF" w:rsidRPr="00742C01" w:rsidRDefault="2A0F16CF" w:rsidP="00455404">
      <w:pPr>
        <w:spacing w:line="360" w:lineRule="auto"/>
        <w:ind w:firstLine="720"/>
        <w:jc w:val="both"/>
        <w:rPr>
          <w:color w:val="000000" w:themeColor="text1"/>
        </w:rPr>
      </w:pPr>
      <w:r w:rsidRPr="00742C01">
        <w:rPr>
          <w:color w:val="000000" w:themeColor="text1"/>
        </w:rPr>
        <w:t xml:space="preserve">A major theme discovered in both data sets is victimhood. In the </w:t>
      </w:r>
      <w:r w:rsidRPr="00742C01">
        <w:rPr>
          <w:i/>
          <w:iCs/>
          <w:color w:val="000000" w:themeColor="text1"/>
        </w:rPr>
        <w:t>Adolescence</w:t>
      </w:r>
      <w:r w:rsidRPr="00742C01">
        <w:rPr>
          <w:color w:val="000000" w:themeColor="text1"/>
        </w:rPr>
        <w:t xml:space="preserve"> data it is presented through Jamie’s ‘actual victimhood’ vs. his ‘perceived victimhood’. Jamie’s actual victimhood is presented through him being bullied: “BRIONY: You were called names and you were physically abused... JAMIE: Just tripped and spat on”</w:t>
      </w:r>
      <w:r w:rsidR="0000203A" w:rsidRPr="00742C01">
        <w:rPr>
          <w:color w:val="000000" w:themeColor="text1"/>
        </w:rPr>
        <w:t xml:space="preserve"> </w:t>
      </w:r>
      <w:r w:rsidR="00DE2D00" w:rsidRPr="00742C01">
        <w:rPr>
          <w:color w:val="000000" w:themeColor="text1"/>
        </w:rPr>
        <w:t>(Andreeva, 2025, p. 49</w:t>
      </w:r>
      <w:r w:rsidR="0000203A" w:rsidRPr="00742C01">
        <w:rPr>
          <w:color w:val="000000" w:themeColor="text1"/>
        </w:rPr>
        <w:t>)</w:t>
      </w:r>
      <w:r w:rsidRPr="00742C01">
        <w:rPr>
          <w:color w:val="000000" w:themeColor="text1"/>
        </w:rPr>
        <w:t>. She goes on to discuss the online abuse Jamie went through, where Katie would comment certain emoji’s (“red kidney beans, the dynamite and the 100%, and a bow wrapped heart”) which are used as code online to depict certain manosphere “truth groups” and ideologies</w:t>
      </w:r>
      <w:r w:rsidR="0052043B" w:rsidRPr="00742C01">
        <w:rPr>
          <w:color w:val="000000" w:themeColor="text1"/>
        </w:rPr>
        <w:t xml:space="preserve"> (p. 52)</w:t>
      </w:r>
      <w:r w:rsidRPr="00742C01">
        <w:rPr>
          <w:color w:val="000000" w:themeColor="text1"/>
        </w:rPr>
        <w:t>. Jamie states “she’s pretending like I’m part of one of those truth groups”</w:t>
      </w:r>
      <w:r w:rsidR="00B70C68" w:rsidRPr="00742C01">
        <w:rPr>
          <w:color w:val="000000" w:themeColor="text1"/>
        </w:rPr>
        <w:t xml:space="preserve"> (p. 51)</w:t>
      </w:r>
      <w:r w:rsidRPr="00742C01">
        <w:rPr>
          <w:color w:val="000000" w:themeColor="text1"/>
        </w:rPr>
        <w:t xml:space="preserve">. The use of the word “pretending” here and how Jamie said he was “just” tripped and spat on could suggest how Jamie is downplaying the bullying he endured at the hands of Katie and peers in his school. This minimising of his actual victimhood links with </w:t>
      </w:r>
      <w:proofErr w:type="spellStart"/>
      <w:r w:rsidRPr="00742C01">
        <w:rPr>
          <w:color w:val="000000" w:themeColor="text1"/>
        </w:rPr>
        <w:t>Haslop</w:t>
      </w:r>
      <w:proofErr w:type="spellEnd"/>
      <w:r w:rsidRPr="00742C01">
        <w:rPr>
          <w:color w:val="000000" w:themeColor="text1"/>
        </w:rPr>
        <w:t xml:space="preserve"> et al.’s concept of homosocial currencies because “humour becomes part of a competitive dynamic to see who can identify the joke and suppress their emotions about being teased” (2024, p. 8). This feeds into hegemonic structures of masculinity because if Jamie does not minimise the actual victimisation he is facing, he may lose these homosocial currencies which would affect his stance in the hegemonic masculinity framework. Jamie’s perceived victimhood is presented with the reasoning behind his bullying, when asked by Briony he claims it is because he is the “ugliest”</w:t>
      </w:r>
      <w:r w:rsidR="002A549B" w:rsidRPr="00742C01">
        <w:rPr>
          <w:color w:val="000000" w:themeColor="text1"/>
        </w:rPr>
        <w:t xml:space="preserve"> (p. 53)</w:t>
      </w:r>
      <w:r w:rsidRPr="00742C01">
        <w:rPr>
          <w:color w:val="000000" w:themeColor="text1"/>
        </w:rPr>
        <w:t>. This response suggests Jamie has a sense of self-loathing and is openly self-</w:t>
      </w:r>
      <w:r w:rsidRPr="00742C01">
        <w:rPr>
          <w:color w:val="000000" w:themeColor="text1"/>
        </w:rPr>
        <w:lastRenderedPageBreak/>
        <w:t xml:space="preserve">deprecating, which is a key aspect of what Ofcom (2025, p. 46) found incel framework to promote. </w:t>
      </w:r>
      <w:r w:rsidRPr="00742C01">
        <w:rPr>
          <w:i/>
          <w:iCs/>
          <w:color w:val="000000" w:themeColor="text1"/>
        </w:rPr>
        <w:t>Adolescence</w:t>
      </w:r>
      <w:r w:rsidRPr="00742C01">
        <w:rPr>
          <w:color w:val="000000" w:themeColor="text1"/>
        </w:rPr>
        <w:t xml:space="preserve"> could be presenting that this perceived victimhood against how women and society view Jamie is how he shifts to blame onto them when he is met with actual victimisation. Blaming Katie for having hurtful, vain, rejecting views of his appearance supports Tanner and </w:t>
      </w:r>
      <w:proofErr w:type="spellStart"/>
      <w:r w:rsidRPr="00742C01">
        <w:rPr>
          <w:color w:val="000000" w:themeColor="text1"/>
        </w:rPr>
        <w:t>Gillardin’s</w:t>
      </w:r>
      <w:proofErr w:type="spellEnd"/>
      <w:r w:rsidRPr="00742C01">
        <w:rPr>
          <w:color w:val="000000" w:themeColor="text1"/>
        </w:rPr>
        <w:t xml:space="preserve"> (2025, p. 5) findings that women are seen to be at the root of men’s ills. Which links with Botto and </w:t>
      </w:r>
      <w:proofErr w:type="spellStart"/>
      <w:r w:rsidRPr="00742C01">
        <w:rPr>
          <w:color w:val="000000" w:themeColor="text1"/>
        </w:rPr>
        <w:t>Gottzen’s</w:t>
      </w:r>
      <w:proofErr w:type="spellEnd"/>
      <w:r w:rsidRPr="00742C01">
        <w:rPr>
          <w:color w:val="000000" w:themeColor="text1"/>
        </w:rPr>
        <w:t xml:space="preserve"> (2024, pp. 597-601) findings that vulnerabilities experienced through bullying and loneliness worked to draw young men into misogynistic extremism. </w:t>
      </w:r>
    </w:p>
    <w:p w14:paraId="7909E181" w14:textId="3B547779" w:rsidR="2A0F16CF" w:rsidRPr="00742C01" w:rsidRDefault="2A0F16CF" w:rsidP="00455404">
      <w:pPr>
        <w:spacing w:line="360" w:lineRule="auto"/>
        <w:ind w:firstLine="720"/>
        <w:jc w:val="both"/>
        <w:rPr>
          <w:color w:val="000000" w:themeColor="text1"/>
        </w:rPr>
      </w:pPr>
      <w:r w:rsidRPr="00742C01">
        <w:rPr>
          <w:color w:val="000000" w:themeColor="text1"/>
        </w:rPr>
        <w:t>In the Tate podcast, he framed men as the victims of women not wanting to have their children: “this female and her whims, her emotions, her primary concerns, which a lot of the time are just showing off, have limited that man's genetic potential massively”</w:t>
      </w:r>
      <w:r w:rsidR="003F22C9" w:rsidRPr="00742C01">
        <w:rPr>
          <w:color w:val="000000" w:themeColor="text1"/>
        </w:rPr>
        <w:t xml:space="preserve"> (Lee,</w:t>
      </w:r>
      <w:r w:rsidR="006A1287" w:rsidRPr="00742C01">
        <w:rPr>
          <w:color w:val="000000" w:themeColor="text1"/>
        </w:rPr>
        <w:t xml:space="preserve"> </w:t>
      </w:r>
      <w:proofErr w:type="gramStart"/>
      <w:r w:rsidR="006A1287" w:rsidRPr="00742C01">
        <w:rPr>
          <w:color w:val="000000" w:themeColor="text1"/>
        </w:rPr>
        <w:t xml:space="preserve">2025, </w:t>
      </w:r>
      <w:r w:rsidR="003F22C9" w:rsidRPr="00742C01">
        <w:rPr>
          <w:color w:val="000000" w:themeColor="text1"/>
        </w:rPr>
        <w:t xml:space="preserve"> </w:t>
      </w:r>
      <w:r w:rsidR="009F6264" w:rsidRPr="00742C01">
        <w:rPr>
          <w:color w:val="000000" w:themeColor="text1"/>
        </w:rPr>
        <w:t>0</w:t>
      </w:r>
      <w:proofErr w:type="gramEnd"/>
      <w:r w:rsidR="009F6264" w:rsidRPr="00742C01">
        <w:rPr>
          <w:color w:val="000000" w:themeColor="text1"/>
        </w:rPr>
        <w:t>:47)</w:t>
      </w:r>
      <w:r w:rsidRPr="00742C01">
        <w:rPr>
          <w:color w:val="000000" w:themeColor="text1"/>
        </w:rPr>
        <w:t>. This presents a masculinist perspective of unfairness against gender equality and women’s right to say no to having children (</w:t>
      </w:r>
      <w:proofErr w:type="spellStart"/>
      <w:r w:rsidRPr="00742C01">
        <w:rPr>
          <w:color w:val="000000" w:themeColor="text1"/>
        </w:rPr>
        <w:t>Haslop</w:t>
      </w:r>
      <w:proofErr w:type="spellEnd"/>
      <w:r w:rsidRPr="00742C01">
        <w:rPr>
          <w:color w:val="000000" w:themeColor="text1"/>
        </w:rPr>
        <w:t xml:space="preserve"> et al. 2024, p. 7). Tate goes on to say “men build the cities, men build the roads, men build, women give us the children. Well, birth rates are collapsing and we've built more than we've ever built”</w:t>
      </w:r>
      <w:r w:rsidR="003451BA" w:rsidRPr="00742C01">
        <w:rPr>
          <w:color w:val="000000" w:themeColor="text1"/>
        </w:rPr>
        <w:t xml:space="preserve"> (4:05)</w:t>
      </w:r>
      <w:r w:rsidRPr="00742C01">
        <w:rPr>
          <w:color w:val="000000" w:themeColor="text1"/>
        </w:rPr>
        <w:t>. This suggests that society is the victim of women not having children. In addition, he blames the problem of “birth rates collapsing” solely on women. Tate frames this perceived victimhood as an emergency by using dramatic language such as “we need children on the planet. We're literally collapsing”</w:t>
      </w:r>
      <w:r w:rsidR="00CE0FBF" w:rsidRPr="00742C01">
        <w:rPr>
          <w:color w:val="000000" w:themeColor="text1"/>
        </w:rPr>
        <w:t xml:space="preserve"> (3:14)</w:t>
      </w:r>
      <w:r w:rsidRPr="00742C01">
        <w:rPr>
          <w:color w:val="000000" w:themeColor="text1"/>
        </w:rPr>
        <w:t xml:space="preserve">. Moreover, Tate’s use of dramatic discourse here is like what Tanner and </w:t>
      </w:r>
      <w:proofErr w:type="spellStart"/>
      <w:r w:rsidRPr="00742C01">
        <w:rPr>
          <w:color w:val="000000" w:themeColor="text1"/>
        </w:rPr>
        <w:t>Gillardin</w:t>
      </w:r>
      <w:proofErr w:type="spellEnd"/>
      <w:r w:rsidRPr="00742C01">
        <w:rPr>
          <w:color w:val="000000" w:themeColor="text1"/>
        </w:rPr>
        <w:t xml:space="preserve"> (2025, p. 7) call the “masculinity crisis”, except this is being framed as a ‘reproduction crisis’. This presents the concept of masculinism (Roberts et al., 2025) due to the positioning of men as victims of the heteropatriarchal nuclear family being under threat due to feminism’s liberation of women, which has afforded them reproductive choices (Baker, Ging and Andreasen, 2024, p.30). </w:t>
      </w:r>
    </w:p>
    <w:p w14:paraId="0AC1B1DB" w14:textId="64B39C8C" w:rsidR="2A0F16CF" w:rsidRPr="00742C01" w:rsidRDefault="2A0F16CF" w:rsidP="00455404">
      <w:pPr>
        <w:spacing w:line="360" w:lineRule="auto"/>
        <w:ind w:firstLine="720"/>
        <w:jc w:val="both"/>
        <w:rPr>
          <w:color w:val="000000" w:themeColor="text1"/>
        </w:rPr>
      </w:pPr>
      <w:r w:rsidRPr="00742C01">
        <w:rPr>
          <w:color w:val="000000" w:themeColor="text1"/>
        </w:rPr>
        <w:t>Interestingly, during this discussion, Lee disagrees about who is at fault with: “man has allowed her to limit his genetic possibilities. So, that man is at fault, not the woman”</w:t>
      </w:r>
      <w:r w:rsidR="001F0FF7" w:rsidRPr="00742C01">
        <w:rPr>
          <w:color w:val="000000" w:themeColor="text1"/>
        </w:rPr>
        <w:t xml:space="preserve"> (8:50)</w:t>
      </w:r>
      <w:r w:rsidRPr="00742C01">
        <w:rPr>
          <w:color w:val="000000" w:themeColor="text1"/>
        </w:rPr>
        <w:t xml:space="preserve">. Afterwards, Tate changed his argument and agreed and said the blame lies with men. The contradiction within the community and homosocial currencies are being presented, possibly because Tate’s discourse change presents feelings of not wanting his hegemonic masculinity status being challenged by another man. In addition, it indicates how masculinities within the manosphere are hybrid because Tate distanced himself from hegemonic masculinity when it </w:t>
      </w:r>
      <w:r w:rsidRPr="00742C01">
        <w:rPr>
          <w:color w:val="000000" w:themeColor="text1"/>
        </w:rPr>
        <w:lastRenderedPageBreak/>
        <w:t xml:space="preserve">suited his victim narrative, yet when Lee </w:t>
      </w:r>
      <w:r w:rsidR="006D7AFB" w:rsidRPr="00742C01">
        <w:rPr>
          <w:color w:val="000000" w:themeColor="text1"/>
        </w:rPr>
        <w:t>disagreed,</w:t>
      </w:r>
      <w:r w:rsidRPr="00742C01">
        <w:rPr>
          <w:color w:val="000000" w:themeColor="text1"/>
        </w:rPr>
        <w:t xml:space="preserve"> he adopted it when it suited him (Ging, 2019, cited in Fowler, 2025, p. 7).</w:t>
      </w:r>
    </w:p>
    <w:p w14:paraId="0124D450" w14:textId="13A9ACEC" w:rsidR="2A0F16CF" w:rsidRPr="00742C01" w:rsidRDefault="2A0F16CF" w:rsidP="00455404">
      <w:pPr>
        <w:shd w:val="clear" w:color="auto" w:fill="FFFFFF" w:themeFill="background1"/>
        <w:spacing w:after="0" w:line="360" w:lineRule="auto"/>
        <w:ind w:firstLine="720"/>
        <w:jc w:val="both"/>
        <w:rPr>
          <w:color w:val="000000" w:themeColor="text1"/>
        </w:rPr>
      </w:pPr>
      <w:r w:rsidRPr="00742C01">
        <w:rPr>
          <w:color w:val="000000" w:themeColor="text1"/>
        </w:rPr>
        <w:t xml:space="preserve">Victimhood is prevalent in both data sets and presents an aggrieved and masculinist perspective into manosphere ideologies of gender roles. </w:t>
      </w:r>
      <w:r w:rsidRPr="00742C01">
        <w:rPr>
          <w:i/>
          <w:iCs/>
          <w:color w:val="000000" w:themeColor="text1"/>
        </w:rPr>
        <w:t>Adolescence</w:t>
      </w:r>
      <w:r w:rsidRPr="00742C01">
        <w:rPr>
          <w:color w:val="000000" w:themeColor="text1"/>
        </w:rPr>
        <w:t xml:space="preserve"> presents victimhood, and reactions to it, in different ways. In instances where Jamie is a real victim when he is being physically and mentally bullied, he downplays his feelings so as not to appear weak. Yet will openly call himself the “ugliest” </w:t>
      </w:r>
      <w:proofErr w:type="gramStart"/>
      <w:r w:rsidRPr="00742C01">
        <w:rPr>
          <w:color w:val="000000" w:themeColor="text1"/>
        </w:rPr>
        <w:t>in order to</w:t>
      </w:r>
      <w:proofErr w:type="gramEnd"/>
      <w:r w:rsidRPr="00742C01">
        <w:rPr>
          <w:color w:val="000000" w:themeColor="text1"/>
        </w:rPr>
        <w:t xml:space="preserve"> portray a victim trope which presents aggrieved masculinity. Tate has been found to concoct and play on boy’s fears about their place in the structures of hegemonic masculinity (</w:t>
      </w:r>
      <w:proofErr w:type="spellStart"/>
      <w:r w:rsidRPr="00742C01">
        <w:rPr>
          <w:color w:val="000000" w:themeColor="text1"/>
        </w:rPr>
        <w:t>Haslop</w:t>
      </w:r>
      <w:proofErr w:type="spellEnd"/>
      <w:r w:rsidRPr="00742C01">
        <w:rPr>
          <w:color w:val="000000" w:themeColor="text1"/>
        </w:rPr>
        <w:t xml:space="preserve"> et al., 2024, p.1) and argues that childbirth is an important role that women are not doing and men (and society) are victims of this. Yet when another influencer in the community challenges this stance, it is reversed. This highlights the contradictions and how there are different masculinities at play within representations of the manosphere. </w:t>
      </w:r>
    </w:p>
    <w:p w14:paraId="4526D19D" w14:textId="16E11D28" w:rsidR="1ABABFF0" w:rsidRPr="00742C01" w:rsidRDefault="1ABABFF0" w:rsidP="00455404">
      <w:pPr>
        <w:shd w:val="clear" w:color="auto" w:fill="FFFFFF" w:themeFill="background1"/>
        <w:spacing w:after="0" w:line="360" w:lineRule="auto"/>
        <w:ind w:firstLine="720"/>
        <w:jc w:val="both"/>
        <w:rPr>
          <w:color w:val="000000" w:themeColor="text1"/>
        </w:rPr>
      </w:pPr>
    </w:p>
    <w:p w14:paraId="16AFD7A1" w14:textId="37896134" w:rsidR="2A0F16CF" w:rsidRPr="00742C01" w:rsidRDefault="2A0F16CF" w:rsidP="00245FC3">
      <w:pPr>
        <w:pStyle w:val="Heading2"/>
        <w:rPr>
          <w:rFonts w:eastAsiaTheme="minorEastAsia"/>
        </w:rPr>
      </w:pPr>
      <w:bookmarkStart w:id="15" w:name="_Toc741415527"/>
      <w:bookmarkStart w:id="16" w:name="_Toc230797954"/>
      <w:bookmarkStart w:id="17" w:name="_Toc230802003"/>
      <w:r w:rsidRPr="00742C01">
        <w:rPr>
          <w:rFonts w:eastAsiaTheme="minorEastAsia"/>
        </w:rPr>
        <w:t xml:space="preserve">Women’s </w:t>
      </w:r>
      <w:r w:rsidR="101994FE" w:rsidRPr="00742C01">
        <w:rPr>
          <w:rFonts w:eastAsiaTheme="minorEastAsia"/>
        </w:rPr>
        <w:t>service to men</w:t>
      </w:r>
      <w:bookmarkEnd w:id="15"/>
      <w:bookmarkEnd w:id="16"/>
      <w:bookmarkEnd w:id="17"/>
    </w:p>
    <w:p w14:paraId="5D8AD1F6" w14:textId="05381BE2" w:rsidR="43D95264" w:rsidRPr="00742C01" w:rsidRDefault="2A0F16CF" w:rsidP="00455404">
      <w:pPr>
        <w:shd w:val="clear" w:color="auto" w:fill="FFFFFF" w:themeFill="background1"/>
        <w:spacing w:after="0" w:line="360" w:lineRule="auto"/>
        <w:ind w:firstLine="720"/>
        <w:jc w:val="both"/>
        <w:rPr>
          <w:color w:val="000000" w:themeColor="text1"/>
        </w:rPr>
      </w:pPr>
      <w:r w:rsidRPr="00742C01">
        <w:t xml:space="preserve">A common theme explored in the data </w:t>
      </w:r>
      <w:r w:rsidRPr="00742C01">
        <w:rPr>
          <w:color w:val="000000" w:themeColor="text1"/>
        </w:rPr>
        <w:t xml:space="preserve">is about the service to men that is expected of women. In </w:t>
      </w:r>
      <w:r w:rsidRPr="00742C01">
        <w:rPr>
          <w:i/>
          <w:iCs/>
          <w:color w:val="000000" w:themeColor="text1"/>
        </w:rPr>
        <w:t>Adolescence</w:t>
      </w:r>
      <w:r w:rsidRPr="00742C01">
        <w:rPr>
          <w:color w:val="000000" w:themeColor="text1"/>
        </w:rPr>
        <w:t>, Jamie consistently asks for reassurance from Briony. Briony asks Jamie, “do you think – girls – are attracted to you?” and Jamie confesses he thinks he is too “ugly”</w:t>
      </w:r>
      <w:r w:rsidR="006A1287" w:rsidRPr="00742C01">
        <w:rPr>
          <w:color w:val="000000" w:themeColor="text1"/>
        </w:rPr>
        <w:t xml:space="preserve"> (Andreeva, 2025, p. 44)</w:t>
      </w:r>
      <w:r w:rsidRPr="00742C01">
        <w:rPr>
          <w:color w:val="000000" w:themeColor="text1"/>
        </w:rPr>
        <w:t>. She then asks him, “and how does that make you feel?” and Jamie responds with “aren’t you supposed to say I’m not ugly?”. This suggests Jamie’s expectation that Briony provides emotional reassurance. Briony brings attention to this by saying “you think I should contradict you now when you tell me you think yourself ugly”. Briony’s discourse could be being used to highlight this gender role from the perspective of the woman in the scenario. In addition, Jamie continually asks Briony questions throughout the interview expecting Briony to reassure and placate him. He asks “you think she was a bitch, right? Doing that? You think she was a bullying bitch?” and “most boys would have touched her. So that makes me better ... That makes me better, don’t you think?”</w:t>
      </w:r>
      <w:r w:rsidR="008A7A89" w:rsidRPr="00742C01">
        <w:rPr>
          <w:color w:val="000000" w:themeColor="text1"/>
        </w:rPr>
        <w:t xml:space="preserve"> (p. 56)</w:t>
      </w:r>
      <w:r w:rsidRPr="00742C01">
        <w:rPr>
          <w:color w:val="000000" w:themeColor="text1"/>
        </w:rPr>
        <w:t xml:space="preserve">. This could highlight Jamie’s hybrid masculinity (Ging, 2019; Fowler, 2025) of expecting Briony’s reassurance when he feels vulnerable but still referring to a woman in gender-based derogatory language and in the context of a gender-based murder.  Moreover, Jamie states: </w:t>
      </w:r>
      <w:r w:rsidRPr="00742C01">
        <w:rPr>
          <w:color w:val="000000" w:themeColor="text1"/>
        </w:rPr>
        <w:lastRenderedPageBreak/>
        <w:t>“She was a bitch... I should have killed her. But I didn’t”</w:t>
      </w:r>
      <w:r w:rsidR="007500C3" w:rsidRPr="00742C01">
        <w:rPr>
          <w:color w:val="000000" w:themeColor="text1"/>
        </w:rPr>
        <w:t xml:space="preserve"> (p. 54)</w:t>
      </w:r>
      <w:r w:rsidRPr="00742C01">
        <w:rPr>
          <w:color w:val="000000" w:themeColor="text1"/>
        </w:rPr>
        <w:t xml:space="preserve">. Jamie’s use of “should” could indicate his masculinist perspective that Katie </w:t>
      </w:r>
      <w:r w:rsidRPr="00742C01">
        <w:rPr>
          <w:i/>
          <w:color w:val="000000" w:themeColor="text1"/>
        </w:rPr>
        <w:t>should</w:t>
      </w:r>
      <w:r w:rsidRPr="00742C01">
        <w:rPr>
          <w:color w:val="000000" w:themeColor="text1"/>
        </w:rPr>
        <w:t xml:space="preserve"> have had a punishment due to her not fulfilling her gender role and meeting Jamie’s expectations. In addition, the discourse that she was a “bitch” for not going on a date with Jamie implies aggrieved masculinity. Significantly, Jamie stated that he thought “most boys would have touched her” when he had Katie threatened with a knife. This could be highlighting the hegemonic expectation that women’s bodies are objects for men’s pleasure and therefore they are providing a service for men. </w:t>
      </w:r>
    </w:p>
    <w:p w14:paraId="123EFB9A" w14:textId="24DEDC18" w:rsidR="190FECEB" w:rsidRPr="00742C01" w:rsidRDefault="2A0F16CF" w:rsidP="00455404">
      <w:pPr>
        <w:spacing w:line="360" w:lineRule="auto"/>
        <w:ind w:firstLine="720"/>
        <w:jc w:val="both"/>
        <w:rPr>
          <w:color w:val="000000" w:themeColor="text1"/>
        </w:rPr>
      </w:pPr>
      <w:r w:rsidRPr="00742C01">
        <w:rPr>
          <w:color w:val="000000" w:themeColor="text1"/>
        </w:rPr>
        <w:t>In the Tate podcast, he discusses how the role of women is to serve men’s desires in having children and calls it their “traditional obligation”</w:t>
      </w:r>
      <w:r w:rsidR="00D73CAF" w:rsidRPr="00742C01">
        <w:rPr>
          <w:color w:val="000000" w:themeColor="text1"/>
        </w:rPr>
        <w:t xml:space="preserve"> (Lee, 2025, 5:15)</w:t>
      </w:r>
      <w:r w:rsidRPr="00742C01">
        <w:rPr>
          <w:color w:val="000000" w:themeColor="text1"/>
        </w:rPr>
        <w:t>. Tate stated, “my genetic legacy is more important than your feelings”</w:t>
      </w:r>
      <w:r w:rsidR="00185374" w:rsidRPr="00742C01">
        <w:rPr>
          <w:color w:val="000000" w:themeColor="text1"/>
        </w:rPr>
        <w:t xml:space="preserve"> (2:21)</w:t>
      </w:r>
      <w:r w:rsidRPr="00742C01">
        <w:rPr>
          <w:color w:val="000000" w:themeColor="text1"/>
        </w:rPr>
        <w:t xml:space="preserve">. The use of “my” and not ‘our’ centres the man in the child making and suggests that women should serve men and be the vessel for them to have </w:t>
      </w:r>
      <w:r w:rsidRPr="00742C01">
        <w:rPr>
          <w:i/>
          <w:color w:val="000000" w:themeColor="text1"/>
        </w:rPr>
        <w:t>their</w:t>
      </w:r>
      <w:r w:rsidRPr="00742C01">
        <w:rPr>
          <w:color w:val="000000" w:themeColor="text1"/>
        </w:rPr>
        <w:t xml:space="preserve"> children. This hegemonic masculinist perspective that objectifies women and minimises them to their reproductive labour shapes women in relation to and as a project of men (Roberts et al., 2025 p.15). Tate continues “the human race and Western civilization is more important than your </w:t>
      </w:r>
      <w:proofErr w:type="spellStart"/>
      <w:r w:rsidRPr="00742C01">
        <w:rPr>
          <w:color w:val="000000" w:themeColor="text1"/>
        </w:rPr>
        <w:t>crybaby</w:t>
      </w:r>
      <w:proofErr w:type="spellEnd"/>
      <w:r w:rsidRPr="00742C01">
        <w:rPr>
          <w:color w:val="000000" w:themeColor="text1"/>
        </w:rPr>
        <w:t xml:space="preserve"> feelings”</w:t>
      </w:r>
      <w:r w:rsidR="00F070AE" w:rsidRPr="00742C01">
        <w:rPr>
          <w:color w:val="000000" w:themeColor="text1"/>
        </w:rPr>
        <w:t xml:space="preserve"> (3:07)</w:t>
      </w:r>
      <w:r w:rsidRPr="00742C01">
        <w:rPr>
          <w:color w:val="000000" w:themeColor="text1"/>
        </w:rPr>
        <w:t xml:space="preserve">. This is evidence of Roberts et al.’s (2025, p. 16) argument that the manosphere ideology expects women to fulfil a fundamental purpose to bear children which positions men as protectors and rulers, and positions women as being in service to them as </w:t>
      </w:r>
      <w:proofErr w:type="gramStart"/>
      <w:r w:rsidRPr="00742C01">
        <w:rPr>
          <w:color w:val="000000" w:themeColor="text1"/>
        </w:rPr>
        <w:t>wives</w:t>
      </w:r>
      <w:proofErr w:type="gramEnd"/>
      <w:r w:rsidRPr="00742C01">
        <w:rPr>
          <w:color w:val="000000" w:themeColor="text1"/>
        </w:rPr>
        <w:t xml:space="preserve"> mothers and carers. Tate argues that “women have been liberated from their obligation”</w:t>
      </w:r>
      <w:r w:rsidR="00D84132" w:rsidRPr="00742C01">
        <w:rPr>
          <w:color w:val="000000" w:themeColor="text1"/>
        </w:rPr>
        <w:t xml:space="preserve"> (5:10)</w:t>
      </w:r>
      <w:r w:rsidRPr="00742C01">
        <w:rPr>
          <w:color w:val="000000" w:themeColor="text1"/>
        </w:rPr>
        <w:t>. The discourse “obligation” suggests that women must give birth. However, he describes them as being “liberated” which is usually a description for something that has been holding groups back in society. Tate states: “women have been unchained, unshackled from their original obligation”</w:t>
      </w:r>
      <w:r w:rsidR="00D84132" w:rsidRPr="00742C01">
        <w:rPr>
          <w:color w:val="000000" w:themeColor="text1"/>
        </w:rPr>
        <w:t xml:space="preserve"> (5:22)</w:t>
      </w:r>
      <w:r w:rsidRPr="00742C01">
        <w:rPr>
          <w:color w:val="000000" w:themeColor="text1"/>
        </w:rPr>
        <w:t>. This language suggests that having children was forced upon women unwillingly and now they are ‘free’.  The juxtaposition of the language used, and the message, is contradictory because he goes on to question, “have they done anything at the same level as reproducing?”</w:t>
      </w:r>
      <w:r w:rsidR="00296BC9" w:rsidRPr="00742C01">
        <w:rPr>
          <w:color w:val="000000" w:themeColor="text1"/>
        </w:rPr>
        <w:t xml:space="preserve"> (</w:t>
      </w:r>
      <w:r w:rsidR="002748F7" w:rsidRPr="00742C01">
        <w:rPr>
          <w:color w:val="000000" w:themeColor="text1"/>
        </w:rPr>
        <w:t>5:22)</w:t>
      </w:r>
      <w:r w:rsidRPr="00742C01">
        <w:rPr>
          <w:color w:val="000000" w:themeColor="text1"/>
        </w:rPr>
        <w:t>. Therefore, the Tate’s discourse on traditional gender roles presents women as having children to placate men and further their “genetic legacy”. This opinion is further explored when he states, “If you're the kind of man who deserves 20 children, you're going to get them”</w:t>
      </w:r>
      <w:r w:rsidR="00C22C65" w:rsidRPr="00742C01">
        <w:rPr>
          <w:color w:val="000000" w:themeColor="text1"/>
        </w:rPr>
        <w:t xml:space="preserve"> (10:05)</w:t>
      </w:r>
      <w:r w:rsidRPr="00742C01">
        <w:rPr>
          <w:color w:val="000000" w:themeColor="text1"/>
        </w:rPr>
        <w:t xml:space="preserve">. The use of the word “deserves” suggests how Tate believes having children is a right and furthers </w:t>
      </w:r>
      <w:proofErr w:type="spellStart"/>
      <w:r w:rsidRPr="00742C01">
        <w:rPr>
          <w:color w:val="000000" w:themeColor="text1"/>
        </w:rPr>
        <w:t>Haslop</w:t>
      </w:r>
      <w:proofErr w:type="spellEnd"/>
      <w:r w:rsidRPr="00742C01">
        <w:rPr>
          <w:color w:val="000000" w:themeColor="text1"/>
        </w:rPr>
        <w:t xml:space="preserve"> et al.’s (2024, p. 5) findings that “women are, and should be, subservient to men”. </w:t>
      </w:r>
    </w:p>
    <w:p w14:paraId="66BDCBFB" w14:textId="5BC518B2" w:rsidR="1ABABFF0" w:rsidRPr="00742C01" w:rsidRDefault="2A0F16CF" w:rsidP="00455404">
      <w:pPr>
        <w:spacing w:after="0" w:line="360" w:lineRule="auto"/>
        <w:ind w:firstLine="720"/>
        <w:jc w:val="both"/>
        <w:rPr>
          <w:color w:val="000000" w:themeColor="text1"/>
        </w:rPr>
      </w:pPr>
      <w:r w:rsidRPr="00742C01">
        <w:rPr>
          <w:color w:val="000000" w:themeColor="text1"/>
        </w:rPr>
        <w:lastRenderedPageBreak/>
        <w:t xml:space="preserve">Similarly to how Jamie seeks reassurance from Briony, Tate sees women’s role as supportive of the men in their lives and to “provide various functions that help or assist aggressive and dominant men”, like providing children which is presented as an “obligation” in manosphere ideology (Roberts et. al., 2025, p.16). Aggrieved entitlement is highlighted through Tate’s questioning of women’s choices if they do not have children and through the misogynistic act of violence Jamie commits when Katie does not meet his gendered expectations. </w:t>
      </w:r>
    </w:p>
    <w:p w14:paraId="584DEA90" w14:textId="3E26E629" w:rsidR="1ABABFF0" w:rsidRPr="00742C01" w:rsidRDefault="1ABABFF0" w:rsidP="00455404">
      <w:pPr>
        <w:spacing w:after="0" w:line="360" w:lineRule="auto"/>
        <w:ind w:firstLine="720"/>
        <w:rPr>
          <w:u w:val="single"/>
        </w:rPr>
      </w:pPr>
    </w:p>
    <w:p w14:paraId="700D30A3" w14:textId="2AA1F67A" w:rsidR="2A0F16CF" w:rsidRPr="00742C01" w:rsidRDefault="2A0F16CF" w:rsidP="00245FC3">
      <w:pPr>
        <w:pStyle w:val="Heading2"/>
        <w:rPr>
          <w:rFonts w:eastAsiaTheme="minorEastAsia"/>
        </w:rPr>
      </w:pPr>
      <w:bookmarkStart w:id="18" w:name="_Toc1398197667"/>
      <w:bookmarkStart w:id="19" w:name="_Toc230797955"/>
      <w:bookmarkStart w:id="20" w:name="_Toc230802004"/>
      <w:r w:rsidRPr="00742C01">
        <w:rPr>
          <w:rFonts w:eastAsiaTheme="minorEastAsia"/>
        </w:rPr>
        <w:t>Lack of empathy towards women</w:t>
      </w:r>
      <w:bookmarkEnd w:id="18"/>
      <w:bookmarkEnd w:id="19"/>
      <w:bookmarkEnd w:id="20"/>
    </w:p>
    <w:p w14:paraId="04F06885" w14:textId="6B4286E1" w:rsidR="00B97CFB" w:rsidRPr="00742C01" w:rsidRDefault="2A0F16CF" w:rsidP="00455404">
      <w:pPr>
        <w:spacing w:after="0" w:line="360" w:lineRule="auto"/>
        <w:ind w:firstLine="720"/>
        <w:jc w:val="both"/>
        <w:rPr>
          <w:color w:val="000000" w:themeColor="text1"/>
        </w:rPr>
      </w:pPr>
      <w:r w:rsidRPr="00742C01">
        <w:rPr>
          <w:color w:val="000000" w:themeColor="text1"/>
        </w:rPr>
        <w:t>In the Tate podcast, he depicts women as being too emotional and promotes men being unemotional. Tate refers to women as “breeding age females”</w:t>
      </w:r>
      <w:r w:rsidR="00A658B9" w:rsidRPr="00742C01">
        <w:rPr>
          <w:color w:val="000000" w:themeColor="text1"/>
        </w:rPr>
        <w:t xml:space="preserve"> (7:45)</w:t>
      </w:r>
      <w:r w:rsidRPr="00742C01">
        <w:rPr>
          <w:color w:val="000000" w:themeColor="text1"/>
        </w:rPr>
        <w:t>. “Breeding” is usually exclusively used for animals, which highlights a lack of empathy, emotion and attachment to women. He goes on to say:</w:t>
      </w:r>
    </w:p>
    <w:p w14:paraId="6709570B" w14:textId="77777777" w:rsidR="006A48A5" w:rsidRPr="00742C01" w:rsidRDefault="006A48A5" w:rsidP="00455404">
      <w:pPr>
        <w:spacing w:after="0" w:line="360" w:lineRule="auto"/>
        <w:ind w:firstLine="720"/>
        <w:jc w:val="both"/>
        <w:rPr>
          <w:color w:val="000000" w:themeColor="text1"/>
        </w:rPr>
      </w:pPr>
    </w:p>
    <w:p w14:paraId="05E44C78" w14:textId="5959D977" w:rsidR="2A0F16CF" w:rsidRPr="00742C01" w:rsidRDefault="00867CBD" w:rsidP="00455404">
      <w:pPr>
        <w:spacing w:line="360" w:lineRule="auto"/>
        <w:ind w:firstLine="720"/>
        <w:rPr>
          <w:color w:val="000000" w:themeColor="text1"/>
        </w:rPr>
      </w:pPr>
      <w:r w:rsidRPr="00742C01">
        <w:rPr>
          <w:color w:val="000000" w:themeColor="text1"/>
        </w:rPr>
        <w:t>I</w:t>
      </w:r>
      <w:r w:rsidR="2A0F16CF" w:rsidRPr="00742C01">
        <w:rPr>
          <w:color w:val="000000" w:themeColor="text1"/>
        </w:rPr>
        <w:t>f you take too long to grow it, listen, nine months is how long it's supposed to take. Double up. That's your problem. Get it done. If it takes too long, I'll have kids with her. Oh, but I don't want you to. Tough. Tough. Because my genetic legacy is more important than your feelings</w:t>
      </w:r>
      <w:r w:rsidR="006A48A5" w:rsidRPr="00742C01">
        <w:rPr>
          <w:color w:val="000000" w:themeColor="text1"/>
        </w:rPr>
        <w:t xml:space="preserve"> </w:t>
      </w:r>
      <w:r w:rsidR="00F34558" w:rsidRPr="00742C01">
        <w:rPr>
          <w:color w:val="000000" w:themeColor="text1"/>
        </w:rPr>
        <w:t>(2:08)</w:t>
      </w:r>
      <w:r w:rsidR="006A48A5" w:rsidRPr="00742C01">
        <w:rPr>
          <w:color w:val="000000" w:themeColor="text1"/>
        </w:rPr>
        <w:t>.</w:t>
      </w:r>
    </w:p>
    <w:p w14:paraId="50BAB1C7" w14:textId="77777777" w:rsidR="006A48A5" w:rsidRPr="00742C01" w:rsidRDefault="006A48A5" w:rsidP="00455404">
      <w:pPr>
        <w:spacing w:line="360" w:lineRule="auto"/>
        <w:jc w:val="center"/>
        <w:rPr>
          <w:color w:val="000000" w:themeColor="text1"/>
        </w:rPr>
      </w:pPr>
    </w:p>
    <w:p w14:paraId="0EE6D91E" w14:textId="4003CB55" w:rsidR="003D454E" w:rsidRPr="00742C01" w:rsidRDefault="2A0F16CF" w:rsidP="00455404">
      <w:pPr>
        <w:spacing w:after="0" w:line="360" w:lineRule="auto"/>
        <w:ind w:firstLine="720"/>
        <w:jc w:val="both"/>
        <w:rPr>
          <w:color w:val="000000" w:themeColor="text1"/>
        </w:rPr>
      </w:pPr>
      <w:r w:rsidRPr="00742C01">
        <w:rPr>
          <w:color w:val="000000" w:themeColor="text1"/>
        </w:rPr>
        <w:t>Tate’s discourse of “if it takes too long”, puts the responsibility of the pregnancy on the woman, even though it is a natural process which is out of her control. The use of threatening discourse of “I’ll have kids with her” which the woman disagrees with and is met with “tough” promotes hegemonic and misogynistic relationships and feelings towards women. By the woman’s feelings being ignored in this scenario, it highlights the lack of empathy Tate has, when he explicitly states: “my genetic legacy is more important than your feelings”. Tate goes on to say: “</w:t>
      </w:r>
      <w:proofErr w:type="gramStart"/>
      <w:r w:rsidRPr="00742C01">
        <w:rPr>
          <w:color w:val="000000" w:themeColor="text1"/>
        </w:rPr>
        <w:t>the human race</w:t>
      </w:r>
      <w:proofErr w:type="gramEnd"/>
      <w:r w:rsidRPr="00742C01">
        <w:rPr>
          <w:color w:val="000000" w:themeColor="text1"/>
        </w:rPr>
        <w:t xml:space="preserve"> and Western civilization is more important than your </w:t>
      </w:r>
      <w:proofErr w:type="spellStart"/>
      <w:r w:rsidRPr="00742C01">
        <w:rPr>
          <w:color w:val="000000" w:themeColor="text1"/>
        </w:rPr>
        <w:t>crybaby</w:t>
      </w:r>
      <w:proofErr w:type="spellEnd"/>
      <w:r w:rsidRPr="00742C01">
        <w:rPr>
          <w:color w:val="000000" w:themeColor="text1"/>
        </w:rPr>
        <w:t xml:space="preserve"> feelings ... Get over it. That's the bottom line.” Tate’s hegemonic masculinity performance in dismissing the woman’s feelings supports Baker, Ging and Andreasen’s (2024, p.31) findings that manosphere influencers use pseudo-scientific ideas derived from evolutionary psychology to claim that men and women experience emotion differently. Moreover, the </w:t>
      </w:r>
      <w:r w:rsidRPr="00742C01">
        <w:rPr>
          <w:color w:val="000000" w:themeColor="text1"/>
        </w:rPr>
        <w:lastRenderedPageBreak/>
        <w:t>positioning of women as emotional, and the generalisation of women, leads to the narrative of being emotional is to be a woman and therefore feminine. Therefore, it positions being unemotional is to be a man and therefore masculine. This promotion of discrediting women’s emotions could breed negative thinking around femininity and women (Tanner and Gillardin, 2025, p. 2). The masculinism highlighted with Tate’s discourse supports Roberts el al.’s (2025, p. 7) research that it operates to exclude or marginalise all those who are feminised, whether women or men.</w:t>
      </w:r>
    </w:p>
    <w:p w14:paraId="4DF43899" w14:textId="39E857BB" w:rsidR="003D454E" w:rsidRPr="00742C01" w:rsidRDefault="2A0F16CF" w:rsidP="00455404">
      <w:pPr>
        <w:spacing w:after="0" w:line="360" w:lineRule="auto"/>
        <w:ind w:firstLine="720"/>
        <w:jc w:val="both"/>
        <w:rPr>
          <w:color w:val="000000" w:themeColor="text1"/>
        </w:rPr>
      </w:pPr>
      <w:r w:rsidRPr="00742C01">
        <w:rPr>
          <w:color w:val="000000" w:themeColor="text1"/>
        </w:rPr>
        <w:t xml:space="preserve">This theme is presented differently in the </w:t>
      </w:r>
      <w:r w:rsidRPr="00742C01">
        <w:rPr>
          <w:i/>
          <w:iCs/>
          <w:color w:val="000000" w:themeColor="text1"/>
        </w:rPr>
        <w:t>Adolescence</w:t>
      </w:r>
      <w:r w:rsidR="00600D7C" w:rsidRPr="00742C01">
        <w:rPr>
          <w:color w:val="000000" w:themeColor="text1"/>
        </w:rPr>
        <w:t xml:space="preserve"> </w:t>
      </w:r>
      <w:r w:rsidRPr="00742C01">
        <w:rPr>
          <w:color w:val="000000" w:themeColor="text1"/>
        </w:rPr>
        <w:t>data. Jamie discusses how he only thought about asking Katie on a date when she was “weak”</w:t>
      </w:r>
      <w:r w:rsidR="00941876" w:rsidRPr="00742C01">
        <w:rPr>
          <w:color w:val="000000" w:themeColor="text1"/>
        </w:rPr>
        <w:t xml:space="preserve"> (Andreeva, 2025, p. 54)</w:t>
      </w:r>
      <w:r w:rsidRPr="00742C01">
        <w:rPr>
          <w:color w:val="000000" w:themeColor="text1"/>
        </w:rPr>
        <w:t>. In addition, the first comment he makes about Katie when Briony asks if he thought Katie was attractive was a comment about her breasts being “flat”</w:t>
      </w:r>
      <w:r w:rsidR="001D5392" w:rsidRPr="00742C01">
        <w:rPr>
          <w:color w:val="000000" w:themeColor="text1"/>
        </w:rPr>
        <w:t xml:space="preserve"> (p. 55)</w:t>
      </w:r>
      <w:r w:rsidRPr="00742C01">
        <w:rPr>
          <w:color w:val="000000" w:themeColor="text1"/>
        </w:rPr>
        <w:t>. This objectification of Katie suggests that Jamie did not think of Katie’s character and shows he had a lack of empathy for her. Jamie’s discourse could be depicting hybrid masculinities with the reframing of rejection into misogyny. Jamie wanted a romantic relationship, but when Katie rejected him and he was vulnerable, she was a “bitch”</w:t>
      </w:r>
      <w:r w:rsidR="000F2E6B" w:rsidRPr="00742C01">
        <w:rPr>
          <w:color w:val="000000" w:themeColor="text1"/>
        </w:rPr>
        <w:t xml:space="preserve"> (p. 54)</w:t>
      </w:r>
      <w:r w:rsidRPr="00742C01">
        <w:rPr>
          <w:color w:val="000000" w:themeColor="text1"/>
        </w:rPr>
        <w:t>. However, there are examples of Jamie showing emotion for Katie. He wore his “best tracksuit”</w:t>
      </w:r>
      <w:r w:rsidR="0090409A" w:rsidRPr="00742C01">
        <w:rPr>
          <w:color w:val="000000" w:themeColor="text1"/>
        </w:rPr>
        <w:t xml:space="preserve"> (p. 55)</w:t>
      </w:r>
      <w:r w:rsidRPr="00742C01">
        <w:rPr>
          <w:color w:val="000000" w:themeColor="text1"/>
        </w:rPr>
        <w:t xml:space="preserve"> when going to see her which showed he cared what she thought about him. He apologised to her about the treatment she had suffered from her peers. But because she did not reciprocate his feelings, his empathy for her fell drastically which supports Kimmel’s argument that men exhibit reactionary anger when the benefits they believed they were entitled to are not delivered (2017, cited in </w:t>
      </w:r>
      <w:proofErr w:type="spellStart"/>
      <w:r w:rsidRPr="00742C01">
        <w:rPr>
          <w:color w:val="000000" w:themeColor="text1"/>
        </w:rPr>
        <w:t>Haslop</w:t>
      </w:r>
      <w:proofErr w:type="spellEnd"/>
      <w:r w:rsidRPr="00742C01">
        <w:rPr>
          <w:color w:val="000000" w:themeColor="text1"/>
        </w:rPr>
        <w:t xml:space="preserve"> et al., 2024, p. 6). Which highlights aggrieved masculinities at the rejection Jamie felt. </w:t>
      </w:r>
    </w:p>
    <w:p w14:paraId="0F7D115E" w14:textId="087517A7" w:rsidR="2A0F16CF" w:rsidRPr="00742C01" w:rsidRDefault="2A0F16CF" w:rsidP="00455404">
      <w:pPr>
        <w:shd w:val="clear" w:color="auto" w:fill="FFFFFF" w:themeFill="background1"/>
        <w:spacing w:after="0" w:line="360" w:lineRule="auto"/>
        <w:ind w:firstLine="720"/>
        <w:jc w:val="both"/>
        <w:rPr>
          <w:color w:val="000000" w:themeColor="text1"/>
        </w:rPr>
      </w:pPr>
      <w:r w:rsidRPr="00742C01">
        <w:rPr>
          <w:color w:val="000000" w:themeColor="text1"/>
        </w:rPr>
        <w:t>Manosphere ideologies about gender roles are presented in the Tate podcast as generalising themes of men being unemotional and women being too emotional. Tate’s discourse has themes of anti-femininity and anti-emotion and a minimising of women’s emotions., which supports that “Tate plays on fears related to heterosexual masculinity and desirability” (</w:t>
      </w:r>
      <w:proofErr w:type="spellStart"/>
      <w:r w:rsidRPr="00742C01">
        <w:rPr>
          <w:color w:val="000000" w:themeColor="text1"/>
        </w:rPr>
        <w:t>Haslop</w:t>
      </w:r>
      <w:proofErr w:type="spellEnd"/>
      <w:r w:rsidRPr="00742C01">
        <w:rPr>
          <w:color w:val="000000" w:themeColor="text1"/>
        </w:rPr>
        <w:t xml:space="preserve"> et al., 2024, p. 6). These fears are explored in Jamie’s discourse surrounding Katie. Although </w:t>
      </w:r>
      <w:r w:rsidRPr="00742C01">
        <w:rPr>
          <w:i/>
          <w:iCs/>
          <w:color w:val="000000" w:themeColor="text1"/>
        </w:rPr>
        <w:t>Adolescence</w:t>
      </w:r>
      <w:r w:rsidRPr="00742C01">
        <w:rPr>
          <w:color w:val="000000" w:themeColor="text1"/>
        </w:rPr>
        <w:t xml:space="preserve"> shows themes of Jamie showing a lack of emotion for Katie, it complicates the rigid hegemonic structure which Tate’s discourse sets out because Jamie’s discourse presents hybrid masculinities which construe and confuse Jamie when he is rejected. Tate is presenting how his own wants and desires of having children are more important that the woman’s feelings. Similarly, Jamie presents how his own wants of being with Katie romantically are more important than her autonomy as a woman.</w:t>
      </w:r>
    </w:p>
    <w:p w14:paraId="50B0452D" w14:textId="4E5C61D5" w:rsidR="7EE122C9" w:rsidRPr="00742C01" w:rsidRDefault="7EE122C9" w:rsidP="00245FC3">
      <w:pPr>
        <w:pStyle w:val="Heading1"/>
        <w:rPr>
          <w:rFonts w:eastAsiaTheme="minorEastAsia"/>
        </w:rPr>
      </w:pPr>
      <w:bookmarkStart w:id="21" w:name="_Toc1873312057"/>
      <w:bookmarkStart w:id="22" w:name="_Toc230797956"/>
      <w:bookmarkStart w:id="23" w:name="_Toc230802005"/>
      <w:r w:rsidRPr="00742C01">
        <w:rPr>
          <w:rFonts w:eastAsiaTheme="minorEastAsia"/>
        </w:rPr>
        <w:lastRenderedPageBreak/>
        <w:t>Conclusion</w:t>
      </w:r>
      <w:bookmarkEnd w:id="21"/>
      <w:bookmarkEnd w:id="22"/>
      <w:bookmarkEnd w:id="23"/>
    </w:p>
    <w:p w14:paraId="726103C5" w14:textId="03E220CC" w:rsidR="7BDBB66F" w:rsidRPr="00742C01" w:rsidRDefault="758BEEB2" w:rsidP="00455404">
      <w:pPr>
        <w:shd w:val="clear" w:color="auto" w:fill="FFFFFF" w:themeFill="background1"/>
        <w:spacing w:after="225" w:line="360" w:lineRule="auto"/>
        <w:ind w:firstLine="720"/>
        <w:jc w:val="both"/>
        <w:rPr>
          <w:color w:val="000000" w:themeColor="text1"/>
        </w:rPr>
      </w:pPr>
      <w:r w:rsidRPr="00742C01">
        <w:rPr>
          <w:color w:val="000000" w:themeColor="text1"/>
        </w:rPr>
        <w:t xml:space="preserve">This dissertation aimed to explore how manosphere ideologies about gender roles are presented in the television programme </w:t>
      </w:r>
      <w:r w:rsidRPr="00742C01">
        <w:rPr>
          <w:i/>
          <w:color w:val="000000" w:themeColor="text1"/>
        </w:rPr>
        <w:t>Adolescence</w:t>
      </w:r>
      <w:r w:rsidRPr="00742C01">
        <w:rPr>
          <w:color w:val="000000" w:themeColor="text1"/>
        </w:rPr>
        <w:t xml:space="preserve"> and a podcast </w:t>
      </w:r>
      <w:r w:rsidR="0060260F" w:rsidRPr="00742C01">
        <w:rPr>
          <w:color w:val="000000" w:themeColor="text1"/>
        </w:rPr>
        <w:t>with</w:t>
      </w:r>
      <w:r w:rsidRPr="00742C01">
        <w:rPr>
          <w:color w:val="000000" w:themeColor="text1"/>
        </w:rPr>
        <w:t xml:space="preserve"> Andrew Tate. Through discourse analysis of both data sets, it has demonstrated that manosphere representations of gender are underpinned by themes of victimhood, women’s service to men, and a lack of empathy towards women. While these ideologies promote hegemonic masculinity, the findings reveal contradictions in how masculinity is performed. Manosphere men seek to position themselves within hegemonic masculine structures as well as framing themselves as victims of feminism and women’s autonomy. Therefore, this dissertation argues that manosphere ideologies about gender roles are not simply hegemonic but are intertwined with hybrid and aggrieved masculinities that rely on narratives of victimhood to legitimise misogynistic attitudes towards women.</w:t>
      </w:r>
    </w:p>
    <w:p w14:paraId="35C2F46A" w14:textId="7A012D81" w:rsidR="758BEEB2" w:rsidRPr="00742C01" w:rsidRDefault="758BEEB2" w:rsidP="00455404">
      <w:pPr>
        <w:spacing w:line="360" w:lineRule="auto"/>
        <w:ind w:firstLine="720"/>
        <w:jc w:val="both"/>
        <w:rPr>
          <w:color w:val="000000" w:themeColor="text1"/>
        </w:rPr>
      </w:pPr>
      <w:r w:rsidRPr="00742C01">
        <w:rPr>
          <w:color w:val="000000" w:themeColor="text1"/>
        </w:rPr>
        <w:t xml:space="preserve">Across both data sets, victimhood emerged as a significant </w:t>
      </w:r>
      <w:r w:rsidR="00B16D8D" w:rsidRPr="00742C01">
        <w:rPr>
          <w:color w:val="000000" w:themeColor="text1"/>
        </w:rPr>
        <w:t>theme</w:t>
      </w:r>
      <w:r w:rsidRPr="00742C01">
        <w:rPr>
          <w:color w:val="000000" w:themeColor="text1"/>
        </w:rPr>
        <w:t xml:space="preserve">. In </w:t>
      </w:r>
      <w:r w:rsidRPr="00742C01">
        <w:rPr>
          <w:i/>
          <w:color w:val="000000" w:themeColor="text1"/>
        </w:rPr>
        <w:t>Adolescence</w:t>
      </w:r>
      <w:r w:rsidRPr="00742C01">
        <w:rPr>
          <w:color w:val="000000" w:themeColor="text1"/>
        </w:rPr>
        <w:t>, Jamie’s experiences of bullying and rejection demonstrate actual</w:t>
      </w:r>
      <w:r w:rsidR="008B7944" w:rsidRPr="00742C01">
        <w:rPr>
          <w:color w:val="000000" w:themeColor="text1"/>
        </w:rPr>
        <w:t xml:space="preserve"> </w:t>
      </w:r>
      <w:r w:rsidRPr="00742C01">
        <w:rPr>
          <w:color w:val="000000" w:themeColor="text1"/>
        </w:rPr>
        <w:t>victimhood. While he downplays actual victimisation to maintain masculine status, he simultaneously constructs himself as oppressed by women</w:t>
      </w:r>
      <w:r w:rsidR="008B7944" w:rsidRPr="00742C01">
        <w:rPr>
          <w:color w:val="000000" w:themeColor="text1"/>
        </w:rPr>
        <w:t>: perce</w:t>
      </w:r>
      <w:r w:rsidR="001C3AAA" w:rsidRPr="00742C01">
        <w:rPr>
          <w:color w:val="000000" w:themeColor="text1"/>
        </w:rPr>
        <w:t>ived victimhood</w:t>
      </w:r>
      <w:r w:rsidRPr="00742C01">
        <w:rPr>
          <w:color w:val="000000" w:themeColor="text1"/>
        </w:rPr>
        <w:t xml:space="preserve">. Similarly, Tate frames men, and even society, as victims of women’s reproductive choices, constructing what this dissertation terms a form of ‘reproductive crisis’. These findings support existing literature surrounding aggrieved masculinity and masculinism, which suggests manosphere ideologies </w:t>
      </w:r>
      <w:r w:rsidR="640A83A1" w:rsidRPr="00742C01">
        <w:rPr>
          <w:color w:val="000000" w:themeColor="text1"/>
        </w:rPr>
        <w:t>perceive</w:t>
      </w:r>
      <w:r w:rsidRPr="00742C01">
        <w:rPr>
          <w:color w:val="000000" w:themeColor="text1"/>
        </w:rPr>
        <w:t xml:space="preserve"> that men have lost status and entitlement due to feminism and changing gender norms and are living in a ‘masculinity </w:t>
      </w:r>
      <w:proofErr w:type="spellStart"/>
      <w:r w:rsidRPr="00742C01">
        <w:rPr>
          <w:color w:val="000000" w:themeColor="text1"/>
        </w:rPr>
        <w:t>crisis’</w:t>
      </w:r>
      <w:proofErr w:type="spellEnd"/>
      <w:r w:rsidRPr="00742C01">
        <w:rPr>
          <w:color w:val="000000" w:themeColor="text1"/>
        </w:rPr>
        <w:t xml:space="preserve"> (</w:t>
      </w:r>
      <w:proofErr w:type="spellStart"/>
      <w:r w:rsidRPr="00742C01">
        <w:rPr>
          <w:color w:val="000000" w:themeColor="text1"/>
        </w:rPr>
        <w:t>Haslop</w:t>
      </w:r>
      <w:proofErr w:type="spellEnd"/>
      <w:r w:rsidRPr="00742C01">
        <w:rPr>
          <w:color w:val="000000" w:themeColor="text1"/>
        </w:rPr>
        <w:t xml:space="preserve"> et al., 2024; Roberts et al., 2025). </w:t>
      </w:r>
      <w:r w:rsidR="4ED673F5" w:rsidRPr="00742C01">
        <w:rPr>
          <w:color w:val="000000" w:themeColor="text1"/>
        </w:rPr>
        <w:t xml:space="preserve">There was an unexpected finding when Tate contradicted and changed his argument when questioned by Lee, suggesting </w:t>
      </w:r>
      <w:r w:rsidR="520DB70A" w:rsidRPr="00742C01">
        <w:rPr>
          <w:color w:val="000000" w:themeColor="text1"/>
        </w:rPr>
        <w:t xml:space="preserve">that hegemonic status amongst manosphere men is the priority. </w:t>
      </w:r>
      <w:r w:rsidR="4ED673F5" w:rsidRPr="00742C01">
        <w:rPr>
          <w:color w:val="000000" w:themeColor="text1"/>
        </w:rPr>
        <w:t xml:space="preserve"> </w:t>
      </w:r>
      <w:r w:rsidR="54132B5A" w:rsidRPr="00742C01">
        <w:rPr>
          <w:color w:val="000000" w:themeColor="text1"/>
        </w:rPr>
        <w:t>T</w:t>
      </w:r>
      <w:r w:rsidRPr="00742C01">
        <w:rPr>
          <w:color w:val="000000" w:themeColor="text1"/>
        </w:rPr>
        <w:t xml:space="preserve">his dissertation </w:t>
      </w:r>
      <w:r w:rsidR="146D83D4" w:rsidRPr="00742C01">
        <w:rPr>
          <w:color w:val="000000" w:themeColor="text1"/>
        </w:rPr>
        <w:t xml:space="preserve">supports </w:t>
      </w:r>
      <w:r w:rsidRPr="00742C01">
        <w:rPr>
          <w:color w:val="000000" w:themeColor="text1"/>
        </w:rPr>
        <w:t xml:space="preserve">previous research by demonstrating how these victimhood narratives are contradictory and strategically </w:t>
      </w:r>
      <w:r w:rsidR="1EC8ADB0" w:rsidRPr="00742C01">
        <w:rPr>
          <w:color w:val="000000" w:themeColor="text1"/>
        </w:rPr>
        <w:t>change</w:t>
      </w:r>
      <w:r w:rsidRPr="00742C01">
        <w:rPr>
          <w:color w:val="000000" w:themeColor="text1"/>
        </w:rPr>
        <w:t xml:space="preserve"> to reinforce hegemonic gender </w:t>
      </w:r>
      <w:r w:rsidR="00B102CE" w:rsidRPr="00742C01">
        <w:rPr>
          <w:color w:val="000000" w:themeColor="text1"/>
        </w:rPr>
        <w:t>structures</w:t>
      </w:r>
      <w:r w:rsidRPr="00742C01">
        <w:rPr>
          <w:color w:val="000000" w:themeColor="text1"/>
        </w:rPr>
        <w:t>.</w:t>
      </w:r>
    </w:p>
    <w:p w14:paraId="0CE16BAC" w14:textId="228BC18C" w:rsidR="758BEEB2" w:rsidRPr="00742C01" w:rsidRDefault="758BEEB2" w:rsidP="00455404">
      <w:pPr>
        <w:spacing w:line="360" w:lineRule="auto"/>
        <w:ind w:firstLine="720"/>
        <w:jc w:val="both"/>
        <w:rPr>
          <w:color w:val="000000" w:themeColor="text1"/>
        </w:rPr>
      </w:pPr>
      <w:r w:rsidRPr="00742C01">
        <w:rPr>
          <w:color w:val="000000" w:themeColor="text1"/>
        </w:rPr>
        <w:t>Another finding was the representation of women as providing service to men emotionally</w:t>
      </w:r>
      <w:r w:rsidR="00B102CE" w:rsidRPr="00742C01">
        <w:rPr>
          <w:color w:val="000000" w:themeColor="text1"/>
        </w:rPr>
        <w:t xml:space="preserve"> </w:t>
      </w:r>
      <w:r w:rsidRPr="00742C01">
        <w:rPr>
          <w:color w:val="000000" w:themeColor="text1"/>
        </w:rPr>
        <w:t xml:space="preserve">and reproductively. In </w:t>
      </w:r>
      <w:r w:rsidRPr="00742C01">
        <w:rPr>
          <w:i/>
          <w:color w:val="000000" w:themeColor="text1"/>
        </w:rPr>
        <w:t>Adolescence</w:t>
      </w:r>
      <w:r w:rsidRPr="00742C01">
        <w:rPr>
          <w:color w:val="000000" w:themeColor="text1"/>
        </w:rPr>
        <w:t>, Jamie repeatedly seeks reassurance and emotional support from Briony while responding with hostility when Katie rejects him, suggesting expectations that women shoul</w:t>
      </w:r>
      <w:r w:rsidR="00735E49" w:rsidRPr="00742C01">
        <w:rPr>
          <w:color w:val="000000" w:themeColor="text1"/>
        </w:rPr>
        <w:t>d</w:t>
      </w:r>
      <w:r w:rsidRPr="00742C01">
        <w:rPr>
          <w:color w:val="000000" w:themeColor="text1"/>
        </w:rPr>
        <w:t xml:space="preserve"> placate men. Likewise, Tate frames reproduction as women’s “traditional obligation”, positioning women’s </w:t>
      </w:r>
      <w:r w:rsidR="00735E49" w:rsidRPr="00742C01">
        <w:rPr>
          <w:color w:val="000000" w:themeColor="text1"/>
        </w:rPr>
        <w:t>roles</w:t>
      </w:r>
      <w:r w:rsidRPr="00742C01">
        <w:rPr>
          <w:color w:val="000000" w:themeColor="text1"/>
        </w:rPr>
        <w:t xml:space="preserve"> in relation to men’s desires. </w:t>
      </w:r>
      <w:r w:rsidRPr="00742C01">
        <w:rPr>
          <w:color w:val="000000" w:themeColor="text1"/>
        </w:rPr>
        <w:lastRenderedPageBreak/>
        <w:t>These findings support Roberts et al.’s (2025) argument that masculinist ideologies shape women as projects of men and support literature on aggrieved entitlement when these expectations are not fulfilled.</w:t>
      </w:r>
    </w:p>
    <w:p w14:paraId="0D7D21D0" w14:textId="4D99F76C" w:rsidR="758BEEB2" w:rsidRPr="00742C01" w:rsidRDefault="758BEEB2" w:rsidP="00455404">
      <w:pPr>
        <w:spacing w:line="360" w:lineRule="auto"/>
        <w:ind w:firstLine="720"/>
        <w:jc w:val="both"/>
        <w:rPr>
          <w:color w:val="000000" w:themeColor="text1"/>
        </w:rPr>
      </w:pPr>
      <w:r w:rsidRPr="00742C01">
        <w:rPr>
          <w:color w:val="000000" w:themeColor="text1"/>
        </w:rPr>
        <w:t xml:space="preserve">Finally, the analysis revealed manosphere presentations of emotion and empathy. Tate’s discourse frames women as overly emotional while presenting masculinity as unemotional, reflecting anti-femininity present within manosphere ideologies (Tanner and Gillardin, 2025). However, </w:t>
      </w:r>
      <w:r w:rsidRPr="00742C01">
        <w:rPr>
          <w:i/>
          <w:color w:val="000000" w:themeColor="text1"/>
        </w:rPr>
        <w:t>Adolescence</w:t>
      </w:r>
      <w:r w:rsidRPr="00742C01">
        <w:rPr>
          <w:color w:val="000000" w:themeColor="text1"/>
        </w:rPr>
        <w:t xml:space="preserve"> complicates this clear-cut view of gender roles in relation to emotion. Jamie displays vulnerability and emotional investment in Katie, but when rejected, these emotions transform into misogyny and violence. This demonstrates how hybrid masculinities operate: men are permitted vulnerability only until it threatens masculine status, at which point hegemonic and misogynistic performances are reasserted. The findings therefore support Ging’s (2019) and Fowler’s (2025) arguments that manosphere masculinities are fluid, contradictory, and strategically enacted.</w:t>
      </w:r>
    </w:p>
    <w:p w14:paraId="603E960A" w14:textId="435047C7" w:rsidR="758BEEB2" w:rsidRPr="00742C01" w:rsidRDefault="758BEEB2" w:rsidP="00455404">
      <w:pPr>
        <w:spacing w:line="360" w:lineRule="auto"/>
        <w:ind w:firstLine="720"/>
        <w:jc w:val="both"/>
        <w:rPr>
          <w:color w:val="000000" w:themeColor="text1"/>
        </w:rPr>
      </w:pPr>
      <w:r w:rsidRPr="00742C01">
        <w:rPr>
          <w:color w:val="000000" w:themeColor="text1"/>
        </w:rPr>
        <w:t xml:space="preserve">This dissertation contributes to existing research by providing an up-to-date analysis of manosphere ideologies through both fictional and non-fictional media representations. It addresses a gap in literature surrounding </w:t>
      </w:r>
      <w:r w:rsidRPr="00742C01">
        <w:rPr>
          <w:i/>
          <w:color w:val="000000" w:themeColor="text1"/>
        </w:rPr>
        <w:t>Adolescence</w:t>
      </w:r>
      <w:r w:rsidRPr="00742C01">
        <w:rPr>
          <w:color w:val="000000" w:themeColor="text1"/>
        </w:rPr>
        <w:t xml:space="preserve"> and expands understanding of how women’s gender roles are represented in the more nuanced ways of emotional service. However, there are limitations to this study. The analysis was based on a small sample of data, and discourse analysis is interpretive, meaning alternative interpretations may come from the same data. Furthermore, as </w:t>
      </w:r>
      <w:r w:rsidRPr="00742C01">
        <w:rPr>
          <w:i/>
          <w:color w:val="000000" w:themeColor="text1"/>
        </w:rPr>
        <w:t>Adolescence</w:t>
      </w:r>
      <w:r w:rsidRPr="00742C01">
        <w:rPr>
          <w:color w:val="000000" w:themeColor="text1"/>
        </w:rPr>
        <w:t xml:space="preserve"> is a fictional text, its representations are constructed rather than lived experiences.</w:t>
      </w:r>
    </w:p>
    <w:p w14:paraId="1EFE6E9C" w14:textId="66C39598" w:rsidR="758BEEB2" w:rsidRPr="00742C01" w:rsidRDefault="54AAB485" w:rsidP="00455404">
      <w:pPr>
        <w:spacing w:line="360" w:lineRule="auto"/>
        <w:ind w:firstLine="720"/>
        <w:jc w:val="both"/>
        <w:rPr>
          <w:color w:val="000000" w:themeColor="text1"/>
        </w:rPr>
      </w:pPr>
      <w:r w:rsidRPr="00742C01">
        <w:rPr>
          <w:color w:val="000000" w:themeColor="text1"/>
        </w:rPr>
        <w:t>In conclusion, f</w:t>
      </w:r>
      <w:r w:rsidR="758BEEB2" w:rsidRPr="00742C01">
        <w:rPr>
          <w:color w:val="000000" w:themeColor="text1"/>
        </w:rPr>
        <w:t>uture research should investigate the real-world impact of manosphere discourse on children and young adults,</w:t>
      </w:r>
      <w:r w:rsidR="166CFAB9" w:rsidRPr="00742C01">
        <w:rPr>
          <w:color w:val="000000" w:themeColor="text1"/>
        </w:rPr>
        <w:t xml:space="preserve"> </w:t>
      </w:r>
      <w:r w:rsidR="758BEEB2" w:rsidRPr="00742C01">
        <w:rPr>
          <w:color w:val="000000" w:themeColor="text1"/>
        </w:rPr>
        <w:t xml:space="preserve">particularly regarding relationships, mental health, misogyny, and violence against women. </w:t>
      </w:r>
      <w:r w:rsidR="00102535" w:rsidRPr="00742C01">
        <w:rPr>
          <w:color w:val="000000" w:themeColor="text1"/>
        </w:rPr>
        <w:t>More</w:t>
      </w:r>
      <w:r w:rsidR="758BEEB2" w:rsidRPr="00742C01">
        <w:rPr>
          <w:color w:val="000000" w:themeColor="text1"/>
        </w:rPr>
        <w:t xml:space="preserve"> attention should also be given to how online radicalisation influences offline attitudes and behaviours. Ultimately, this dissertation highlights that misogynistic discourse matters. The representations of gender role</w:t>
      </w:r>
      <w:r w:rsidR="003C3C73" w:rsidRPr="00742C01">
        <w:rPr>
          <w:color w:val="000000" w:themeColor="text1"/>
        </w:rPr>
        <w:t xml:space="preserve">s found </w:t>
      </w:r>
      <w:r w:rsidR="758BEEB2" w:rsidRPr="00742C01">
        <w:rPr>
          <w:color w:val="000000" w:themeColor="text1"/>
        </w:rPr>
        <w:t>online</w:t>
      </w:r>
      <w:r w:rsidR="00A722F1" w:rsidRPr="00742C01">
        <w:rPr>
          <w:color w:val="000000" w:themeColor="text1"/>
        </w:rPr>
        <w:t xml:space="preserve"> sha</w:t>
      </w:r>
      <w:r w:rsidR="758BEEB2" w:rsidRPr="00742C01">
        <w:rPr>
          <w:color w:val="000000" w:themeColor="text1"/>
        </w:rPr>
        <w:t>pe understandings of masculinity, femininity and entitlement</w:t>
      </w:r>
      <w:r w:rsidR="00A722F1" w:rsidRPr="00742C01">
        <w:rPr>
          <w:color w:val="000000" w:themeColor="text1"/>
        </w:rPr>
        <w:t>, offline and in</w:t>
      </w:r>
      <w:r w:rsidR="758BEEB2" w:rsidRPr="00742C01">
        <w:rPr>
          <w:color w:val="000000" w:themeColor="text1"/>
        </w:rPr>
        <w:t xml:space="preserve"> society.</w:t>
      </w:r>
    </w:p>
    <w:p w14:paraId="7E78D089" w14:textId="0F0E20C5" w:rsidR="3AB35D66" w:rsidRPr="00742C01" w:rsidRDefault="3AB35D66" w:rsidP="00455404">
      <w:pPr>
        <w:shd w:val="clear" w:color="auto" w:fill="FFFFFF" w:themeFill="background1"/>
        <w:spacing w:after="225" w:line="360" w:lineRule="auto"/>
        <w:jc w:val="both"/>
        <w:rPr>
          <w:rFonts w:eastAsia="Arial"/>
          <w:color w:val="000000" w:themeColor="text1"/>
          <w:sz w:val="21"/>
          <w:szCs w:val="21"/>
        </w:rPr>
      </w:pPr>
    </w:p>
    <w:p w14:paraId="320A026C" w14:textId="48D5C4C4" w:rsidR="00FB1888" w:rsidRDefault="001A4B3D" w:rsidP="00455404">
      <w:pPr>
        <w:shd w:val="clear" w:color="auto" w:fill="FFFFFF" w:themeFill="background1"/>
        <w:spacing w:after="225" w:line="360" w:lineRule="auto"/>
        <w:jc w:val="both"/>
        <w:rPr>
          <w:rFonts w:eastAsia="Arial"/>
          <w:color w:val="000000" w:themeColor="text1"/>
        </w:rPr>
      </w:pPr>
      <w:r w:rsidRPr="00742C01">
        <w:rPr>
          <w:rFonts w:eastAsia="Arial"/>
          <w:color w:val="000000" w:themeColor="text1"/>
        </w:rPr>
        <w:t>Word count:</w:t>
      </w:r>
      <w:r w:rsidR="00104F14" w:rsidRPr="00742C01">
        <w:rPr>
          <w:rFonts w:eastAsia="Arial"/>
          <w:color w:val="000000" w:themeColor="text1"/>
        </w:rPr>
        <w:t xml:space="preserve"> 71</w:t>
      </w:r>
      <w:r w:rsidR="00232EB0" w:rsidRPr="00742C01">
        <w:rPr>
          <w:rFonts w:eastAsia="Arial"/>
          <w:color w:val="000000" w:themeColor="text1"/>
        </w:rPr>
        <w:t>39</w:t>
      </w:r>
      <w:r w:rsidR="007F2EA2" w:rsidRPr="00742C01">
        <w:rPr>
          <w:rFonts w:eastAsia="Arial"/>
          <w:color w:val="000000" w:themeColor="text1"/>
        </w:rPr>
        <w:t xml:space="preserve"> words</w:t>
      </w:r>
    </w:p>
    <w:p w14:paraId="4BEA77C2" w14:textId="77777777" w:rsidR="00FB1888" w:rsidRDefault="00FB1888">
      <w:pPr>
        <w:rPr>
          <w:rFonts w:eastAsia="Arial"/>
          <w:color w:val="000000" w:themeColor="text1"/>
        </w:rPr>
      </w:pPr>
      <w:r>
        <w:rPr>
          <w:rFonts w:eastAsia="Arial"/>
          <w:color w:val="000000" w:themeColor="text1"/>
        </w:rPr>
        <w:lastRenderedPageBreak/>
        <w:br w:type="page"/>
      </w:r>
    </w:p>
    <w:p w14:paraId="5AAD2B8B" w14:textId="037C8AC4" w:rsidR="2F3E8BF4" w:rsidRPr="00742C01" w:rsidRDefault="2F3E8BF4" w:rsidP="00245FC3">
      <w:pPr>
        <w:pStyle w:val="Heading1"/>
        <w:rPr>
          <w:rFonts w:eastAsiaTheme="minorEastAsia"/>
        </w:rPr>
      </w:pPr>
      <w:bookmarkStart w:id="24" w:name="_Toc316756608"/>
      <w:bookmarkStart w:id="25" w:name="_Toc230797957"/>
      <w:bookmarkStart w:id="26" w:name="_Toc230802006"/>
      <w:r w:rsidRPr="00742C01">
        <w:rPr>
          <w:rFonts w:eastAsiaTheme="minorEastAsia"/>
        </w:rPr>
        <w:lastRenderedPageBreak/>
        <w:t>References</w:t>
      </w:r>
      <w:bookmarkEnd w:id="24"/>
      <w:bookmarkEnd w:id="25"/>
      <w:bookmarkEnd w:id="26"/>
    </w:p>
    <w:p w14:paraId="2A20E766" w14:textId="32DA1457"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Amnesty International UK (2025) </w:t>
      </w:r>
      <w:r w:rsidRPr="00742C01">
        <w:rPr>
          <w:rFonts w:eastAsia="Calibri"/>
          <w:i/>
          <w:iCs/>
          <w:color w:val="000000" w:themeColor="text1"/>
        </w:rPr>
        <w:t>Toxic tech: New polling exposes widespread online misogyny driving Gen Z away from social media</w:t>
      </w:r>
      <w:r w:rsidRPr="00742C01">
        <w:rPr>
          <w:rFonts w:eastAsia="Calibri"/>
          <w:color w:val="000000" w:themeColor="text1"/>
        </w:rPr>
        <w:t xml:space="preserve">. Available at: </w:t>
      </w:r>
      <w:hyperlink r:id="rId10">
        <w:r w:rsidRPr="00742C01">
          <w:rPr>
            <w:rStyle w:val="Hyperlink"/>
          </w:rPr>
          <w:t>https://www.amnesty.org.uk/latest/toxic-tech-new-polling-exposes-widespread-online-misogyny-driving-gen-z-away-social/</w:t>
        </w:r>
      </w:hyperlink>
      <w:r w:rsidRPr="00742C01">
        <w:rPr>
          <w:rFonts w:eastAsia="Calibri"/>
          <w:color w:val="000000" w:themeColor="text1"/>
        </w:rPr>
        <w:t xml:space="preserve"> (Accessed: 15 February 2026).</w:t>
      </w:r>
    </w:p>
    <w:p w14:paraId="22789CB1" w14:textId="259C2A98"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Andreeva, N. (2025) </w:t>
      </w:r>
      <w:r w:rsidRPr="00742C01">
        <w:rPr>
          <w:rFonts w:eastAsia="Calibri"/>
          <w:i/>
          <w:iCs/>
          <w:color w:val="000000" w:themeColor="text1"/>
        </w:rPr>
        <w:t xml:space="preserve">It Starts </w:t>
      </w:r>
      <w:proofErr w:type="gramStart"/>
      <w:r w:rsidRPr="00742C01">
        <w:rPr>
          <w:rFonts w:eastAsia="Calibri"/>
          <w:i/>
          <w:iCs/>
          <w:color w:val="000000" w:themeColor="text1"/>
        </w:rPr>
        <w:t>On</w:t>
      </w:r>
      <w:proofErr w:type="gramEnd"/>
      <w:r w:rsidRPr="00742C01">
        <w:rPr>
          <w:rFonts w:eastAsia="Calibri"/>
          <w:i/>
          <w:iCs/>
          <w:color w:val="000000" w:themeColor="text1"/>
        </w:rPr>
        <w:t xml:space="preserve"> </w:t>
      </w:r>
      <w:proofErr w:type="gramStart"/>
      <w:r w:rsidRPr="00742C01">
        <w:rPr>
          <w:rFonts w:eastAsia="Calibri"/>
          <w:i/>
          <w:iCs/>
          <w:color w:val="000000" w:themeColor="text1"/>
        </w:rPr>
        <w:t>The</w:t>
      </w:r>
      <w:proofErr w:type="gramEnd"/>
      <w:r w:rsidRPr="00742C01">
        <w:rPr>
          <w:rFonts w:eastAsia="Calibri"/>
          <w:i/>
          <w:iCs/>
          <w:color w:val="000000" w:themeColor="text1"/>
        </w:rPr>
        <w:t xml:space="preserve"> Page (Limited): Read ‘Adolescence’ Episode 3 Script </w:t>
      </w:r>
      <w:proofErr w:type="gramStart"/>
      <w:r w:rsidRPr="00742C01">
        <w:rPr>
          <w:rFonts w:eastAsia="Calibri"/>
          <w:i/>
          <w:iCs/>
          <w:color w:val="000000" w:themeColor="text1"/>
        </w:rPr>
        <w:t>With</w:t>
      </w:r>
      <w:proofErr w:type="gramEnd"/>
      <w:r w:rsidRPr="00742C01">
        <w:rPr>
          <w:rFonts w:eastAsia="Calibri"/>
          <w:i/>
          <w:iCs/>
          <w:color w:val="000000" w:themeColor="text1"/>
        </w:rPr>
        <w:t xml:space="preserve"> Foreword </w:t>
      </w:r>
      <w:proofErr w:type="gramStart"/>
      <w:r w:rsidRPr="00742C01">
        <w:rPr>
          <w:rFonts w:eastAsia="Calibri"/>
          <w:i/>
          <w:iCs/>
          <w:color w:val="000000" w:themeColor="text1"/>
        </w:rPr>
        <w:t>By</w:t>
      </w:r>
      <w:proofErr w:type="gramEnd"/>
      <w:r w:rsidRPr="00742C01">
        <w:rPr>
          <w:rFonts w:eastAsia="Calibri"/>
          <w:i/>
          <w:iCs/>
          <w:color w:val="000000" w:themeColor="text1"/>
        </w:rPr>
        <w:t xml:space="preserve"> Stephen Graham &amp; Jack Thorne</w:t>
      </w:r>
      <w:r w:rsidRPr="00742C01">
        <w:rPr>
          <w:rFonts w:eastAsia="Calibri"/>
          <w:color w:val="000000" w:themeColor="text1"/>
        </w:rPr>
        <w:t xml:space="preserve">, </w:t>
      </w:r>
      <w:r w:rsidRPr="00742C01">
        <w:rPr>
          <w:rFonts w:eastAsia="Calibri"/>
          <w:i/>
          <w:iCs/>
          <w:color w:val="000000" w:themeColor="text1"/>
        </w:rPr>
        <w:t>Deadline</w:t>
      </w:r>
      <w:r w:rsidRPr="00742C01">
        <w:rPr>
          <w:rFonts w:eastAsia="Calibri"/>
          <w:color w:val="000000" w:themeColor="text1"/>
        </w:rPr>
        <w:t xml:space="preserve">. Available at: </w:t>
      </w:r>
      <w:hyperlink r:id="rId11">
        <w:r w:rsidRPr="00742C01">
          <w:rPr>
            <w:rStyle w:val="Hyperlink"/>
          </w:rPr>
          <w:t>https://deadline.com/2025/05/read-adolescence-episode-3-script-1236399790/</w:t>
        </w:r>
      </w:hyperlink>
      <w:r w:rsidRPr="00742C01">
        <w:rPr>
          <w:rFonts w:eastAsia="Calibri"/>
          <w:color w:val="000000" w:themeColor="text1"/>
        </w:rPr>
        <w:t xml:space="preserve"> (Accessed: </w:t>
      </w:r>
      <w:r w:rsidR="5A842A85" w:rsidRPr="00742C01">
        <w:rPr>
          <w:rFonts w:eastAsia="Calibri"/>
          <w:color w:val="000000" w:themeColor="text1"/>
        </w:rPr>
        <w:t>20 May 2026</w:t>
      </w:r>
      <w:r w:rsidRPr="00742C01">
        <w:rPr>
          <w:rFonts w:eastAsia="Calibri"/>
          <w:color w:val="000000" w:themeColor="text1"/>
        </w:rPr>
        <w:t>).</w:t>
      </w:r>
    </w:p>
    <w:p w14:paraId="13AF3B44" w14:textId="22C2CF07" w:rsidR="52C01875" w:rsidRPr="00742C01" w:rsidRDefault="2ABB6A66" w:rsidP="00455404">
      <w:pPr>
        <w:shd w:val="clear" w:color="auto" w:fill="FFFFFF" w:themeFill="background1"/>
        <w:spacing w:after="0" w:line="360" w:lineRule="auto"/>
        <w:ind w:left="720" w:hanging="720"/>
      </w:pPr>
      <w:r w:rsidRPr="00742C01">
        <w:rPr>
          <w:color w:val="000000" w:themeColor="text1"/>
        </w:rPr>
        <w:t xml:space="preserve">Baker, C., Ging, D. and Andreasen, M.B. (2024) </w:t>
      </w:r>
      <w:r w:rsidRPr="00742C01">
        <w:rPr>
          <w:i/>
          <w:color w:val="000000" w:themeColor="text1"/>
        </w:rPr>
        <w:t>Recommending toxicity: The role of algorithmic recommender functions on YouTube Shorts and TikTok in promoting male supremacist influencers</w:t>
      </w:r>
      <w:r w:rsidRPr="00742C01">
        <w:rPr>
          <w:color w:val="000000" w:themeColor="text1"/>
        </w:rPr>
        <w:t>. Dublin: DCU Anti-Bullying Centre, Dublin City University</w:t>
      </w:r>
      <w:r w:rsidR="6251E47C" w:rsidRPr="00742C01">
        <w:rPr>
          <w:color w:val="000000" w:themeColor="text1"/>
        </w:rPr>
        <w:t>, pp. 1-44.</w:t>
      </w:r>
      <w:r w:rsidRPr="00742C01">
        <w:rPr>
          <w:color w:val="000000" w:themeColor="text1"/>
        </w:rPr>
        <w:t xml:space="preserve"> Available at: </w:t>
      </w:r>
      <w:hyperlink r:id="rId12">
        <w:r w:rsidRPr="00742C01">
          <w:rPr>
            <w:rStyle w:val="Hyperlink"/>
          </w:rPr>
          <w:t>DCU report PDF</w:t>
        </w:r>
      </w:hyperlink>
      <w:r w:rsidRPr="00742C01">
        <w:rPr>
          <w:color w:val="000000" w:themeColor="text1"/>
        </w:rPr>
        <w:t xml:space="preserve"> (Accessed: 17 May 2026). </w:t>
      </w:r>
    </w:p>
    <w:p w14:paraId="0A54D332" w14:textId="5CB540D6" w:rsidR="5C5B7626" w:rsidRPr="00742C01" w:rsidRDefault="1F940EED" w:rsidP="00455404">
      <w:pPr>
        <w:spacing w:line="360" w:lineRule="auto"/>
        <w:ind w:left="720" w:hanging="720"/>
        <w:jc w:val="both"/>
      </w:pPr>
      <w:r w:rsidRPr="00742C01">
        <w:rPr>
          <w:rFonts w:eastAsia="Calibri"/>
          <w:color w:val="000000" w:themeColor="text1"/>
        </w:rPr>
        <w:t xml:space="preserve">Botto, M. and </w:t>
      </w:r>
      <w:proofErr w:type="spellStart"/>
      <w:r w:rsidRPr="00742C01">
        <w:rPr>
          <w:rFonts w:eastAsia="Calibri"/>
          <w:color w:val="000000" w:themeColor="text1"/>
        </w:rPr>
        <w:t>Gottzén</w:t>
      </w:r>
      <w:proofErr w:type="spellEnd"/>
      <w:r w:rsidRPr="00742C01">
        <w:rPr>
          <w:rFonts w:eastAsia="Calibri"/>
          <w:color w:val="000000" w:themeColor="text1"/>
        </w:rPr>
        <w:t xml:space="preserve">, L. (2024) ‘Swallowing and spitting out the red pill: young men, vulnerability, and radicalization pathways in the manosphere’, </w:t>
      </w:r>
      <w:r w:rsidRPr="00742C01">
        <w:rPr>
          <w:rFonts w:eastAsia="Calibri"/>
          <w:i/>
          <w:iCs/>
          <w:color w:val="000000" w:themeColor="text1"/>
        </w:rPr>
        <w:t>Journal of gender studies</w:t>
      </w:r>
      <w:r w:rsidRPr="00742C01">
        <w:rPr>
          <w:rFonts w:eastAsia="Calibri"/>
          <w:color w:val="000000" w:themeColor="text1"/>
        </w:rPr>
        <w:t xml:space="preserve">, 33(5), pp. </w:t>
      </w:r>
      <w:r w:rsidR="38F5531D" w:rsidRPr="00742C01">
        <w:rPr>
          <w:rFonts w:eastAsia="Calibri"/>
          <w:color w:val="000000" w:themeColor="text1"/>
        </w:rPr>
        <w:t>1-14</w:t>
      </w:r>
      <w:r w:rsidRPr="00742C01">
        <w:rPr>
          <w:rFonts w:eastAsia="Calibri"/>
          <w:color w:val="000000" w:themeColor="text1"/>
        </w:rPr>
        <w:t xml:space="preserve">. Available at: </w:t>
      </w:r>
      <w:hyperlink r:id="rId13">
        <w:r w:rsidRPr="00742C01">
          <w:rPr>
            <w:rStyle w:val="Hyperlink"/>
          </w:rPr>
          <w:t>https://doi.org/10.1080/09589236.2023.2260318</w:t>
        </w:r>
      </w:hyperlink>
      <w:r w:rsidRPr="00742C01">
        <w:rPr>
          <w:rFonts w:eastAsia="Calibri"/>
          <w:color w:val="000000" w:themeColor="text1"/>
        </w:rPr>
        <w:t xml:space="preserve">. (Accessed: 20 May 2026). </w:t>
      </w:r>
      <w:r w:rsidRPr="00742C01">
        <w:rPr>
          <w:rFonts w:eastAsia="Calibri"/>
        </w:rPr>
        <w:t xml:space="preserve"> </w:t>
      </w:r>
    </w:p>
    <w:p w14:paraId="7C85AFEC" w14:textId="37D16230"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Carter, S. (2025) ‘Ethics and responsibilities in social research’, in Carter, S., </w:t>
      </w:r>
      <w:proofErr w:type="spellStart"/>
      <w:r w:rsidRPr="00742C01">
        <w:rPr>
          <w:rFonts w:eastAsia="Calibri"/>
          <w:color w:val="000000" w:themeColor="text1"/>
        </w:rPr>
        <w:t>Kocabicak</w:t>
      </w:r>
      <w:proofErr w:type="spellEnd"/>
      <w:r w:rsidRPr="00742C01">
        <w:rPr>
          <w:rFonts w:eastAsia="Calibri"/>
          <w:color w:val="000000" w:themeColor="text1"/>
        </w:rPr>
        <w:t xml:space="preserve">, E. (eds.) </w:t>
      </w:r>
      <w:r w:rsidRPr="00742C01">
        <w:rPr>
          <w:rFonts w:eastAsia="Calibri"/>
          <w:i/>
          <w:iCs/>
          <w:color w:val="000000" w:themeColor="text1"/>
        </w:rPr>
        <w:t xml:space="preserve">Sociology Special Project Module. </w:t>
      </w:r>
      <w:r w:rsidRPr="00742C01">
        <w:rPr>
          <w:rFonts w:eastAsia="Calibri"/>
          <w:color w:val="000000" w:themeColor="text1"/>
        </w:rPr>
        <w:t>Milton Keynes: The Open University, pp. 31-51.</w:t>
      </w:r>
    </w:p>
    <w:p w14:paraId="48A4E922" w14:textId="11E0271A" w:rsidR="1DD4ED53" w:rsidRPr="00742C01" w:rsidRDefault="004B589F" w:rsidP="00455404">
      <w:pPr>
        <w:shd w:val="clear" w:color="auto" w:fill="FFFFFF" w:themeFill="background1"/>
        <w:spacing w:before="75" w:after="225" w:line="360" w:lineRule="auto"/>
        <w:ind w:left="720" w:hanging="720"/>
      </w:pPr>
      <w:r w:rsidRPr="00742C01">
        <w:rPr>
          <w:rFonts w:eastAsia="Calibri"/>
          <w:color w:val="000000" w:themeColor="text1"/>
        </w:rPr>
        <w:t xml:space="preserve">Carter, S. (2026) ‘Unpublished communication’. (Accessed: 9 March 2026). </w:t>
      </w:r>
      <w:r w:rsidRPr="00742C01">
        <w:t xml:space="preserve"> </w:t>
      </w:r>
    </w:p>
    <w:p w14:paraId="74825F97" w14:textId="62936C74" w:rsidR="7826115E" w:rsidRPr="00742C01" w:rsidRDefault="004B589F" w:rsidP="00455404">
      <w:pPr>
        <w:shd w:val="clear" w:color="auto" w:fill="FFFFFF" w:themeFill="background1"/>
        <w:spacing w:before="75" w:after="225" w:line="360" w:lineRule="auto"/>
        <w:ind w:left="720" w:hanging="720"/>
      </w:pPr>
      <w:r w:rsidRPr="00742C01">
        <w:rPr>
          <w:rFonts w:eastAsia="Calibri"/>
          <w:color w:val="000000" w:themeColor="text1"/>
        </w:rPr>
        <w:t xml:space="preserve">Erel, U. (2025) ‘Qualitative data analysis: thematic analysis and grounded theory’, in Carter, S., </w:t>
      </w:r>
      <w:proofErr w:type="spellStart"/>
      <w:r w:rsidRPr="00742C01">
        <w:rPr>
          <w:rFonts w:eastAsia="Calibri"/>
          <w:color w:val="000000" w:themeColor="text1"/>
        </w:rPr>
        <w:t>Kocabicak</w:t>
      </w:r>
      <w:proofErr w:type="spellEnd"/>
      <w:r w:rsidRPr="00742C01">
        <w:rPr>
          <w:rFonts w:eastAsia="Calibri"/>
          <w:color w:val="000000" w:themeColor="text1"/>
        </w:rPr>
        <w:t xml:space="preserve">, E. (eds.) </w:t>
      </w:r>
      <w:r w:rsidRPr="00742C01">
        <w:rPr>
          <w:rFonts w:eastAsia="Calibri"/>
          <w:i/>
          <w:iCs/>
          <w:color w:val="000000" w:themeColor="text1"/>
        </w:rPr>
        <w:t xml:space="preserve">Sociology Special Project Module. </w:t>
      </w:r>
      <w:r w:rsidRPr="00742C01">
        <w:rPr>
          <w:rFonts w:eastAsia="Calibri"/>
          <w:color w:val="000000" w:themeColor="text1"/>
        </w:rPr>
        <w:t xml:space="preserve">Milton Keynes: The Open University, pp. 139-163. </w:t>
      </w:r>
      <w:r w:rsidRPr="00742C01">
        <w:rPr>
          <w:rFonts w:eastAsia="Calibri"/>
        </w:rPr>
        <w:t xml:space="preserve"> </w:t>
      </w:r>
    </w:p>
    <w:p w14:paraId="779FB4F6" w14:textId="2A299610"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Fowler, J. (2025) ‘The masculinities and emotions of men going their own way: An ethnographic study on the MGTOW Reddit forum’, </w:t>
      </w:r>
      <w:r w:rsidRPr="00742C01">
        <w:rPr>
          <w:rFonts w:eastAsia="Calibri"/>
          <w:i/>
          <w:iCs/>
          <w:color w:val="000000" w:themeColor="text1"/>
        </w:rPr>
        <w:t>Journal of Right-Wing Studies</w:t>
      </w:r>
      <w:r w:rsidRPr="00742C01">
        <w:rPr>
          <w:rFonts w:eastAsia="Calibri"/>
          <w:color w:val="000000" w:themeColor="text1"/>
        </w:rPr>
        <w:t xml:space="preserve">, </w:t>
      </w:r>
      <w:r w:rsidRPr="00742C01">
        <w:rPr>
          <w:rFonts w:eastAsia="Calibri"/>
          <w:color w:val="000000" w:themeColor="text1"/>
        </w:rPr>
        <w:lastRenderedPageBreak/>
        <w:t xml:space="preserve">3(1), pp. </w:t>
      </w:r>
      <w:r w:rsidR="1C43086F" w:rsidRPr="00742C01">
        <w:rPr>
          <w:rFonts w:eastAsia="Calibri"/>
          <w:color w:val="000000" w:themeColor="text1"/>
        </w:rPr>
        <w:t>1-23</w:t>
      </w:r>
      <w:r w:rsidRPr="00742C01">
        <w:rPr>
          <w:rFonts w:eastAsia="Calibri"/>
          <w:color w:val="000000" w:themeColor="text1"/>
        </w:rPr>
        <w:t xml:space="preserve">. Available at: </w:t>
      </w:r>
      <w:hyperlink r:id="rId14">
        <w:r w:rsidRPr="00742C01">
          <w:rPr>
            <w:rStyle w:val="Hyperlink"/>
          </w:rPr>
          <w:t>https://escholarship.org/uc/item/2qh1p7nn</w:t>
        </w:r>
      </w:hyperlink>
      <w:r w:rsidRPr="00742C01">
        <w:rPr>
          <w:rFonts w:eastAsia="Calibri"/>
          <w:color w:val="000000" w:themeColor="text1"/>
        </w:rPr>
        <w:t xml:space="preserve"> (Accessed: </w:t>
      </w:r>
      <w:r w:rsidR="320EE5EE" w:rsidRPr="00742C01">
        <w:rPr>
          <w:rFonts w:eastAsia="Calibri"/>
          <w:color w:val="000000" w:themeColor="text1"/>
        </w:rPr>
        <w:t>20 May</w:t>
      </w:r>
      <w:r w:rsidRPr="00742C01">
        <w:rPr>
          <w:rFonts w:eastAsia="Calibri"/>
          <w:color w:val="000000" w:themeColor="text1"/>
        </w:rPr>
        <w:t xml:space="preserve"> 2026).</w:t>
      </w:r>
    </w:p>
    <w:p w14:paraId="29726A6F" w14:textId="132CD112"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Ging, D. (2019) ‘Alphas, betas, and incels: Theorizing the masculinities of the manosphere’, </w:t>
      </w:r>
      <w:r w:rsidRPr="00742C01">
        <w:rPr>
          <w:rFonts w:eastAsia="Calibri"/>
          <w:i/>
          <w:iCs/>
          <w:color w:val="000000" w:themeColor="text1"/>
        </w:rPr>
        <w:t>Men and Masculinities</w:t>
      </w:r>
      <w:r w:rsidRPr="00742C01">
        <w:rPr>
          <w:rFonts w:eastAsia="Calibri"/>
          <w:color w:val="000000" w:themeColor="text1"/>
        </w:rPr>
        <w:t xml:space="preserve">, 22(4), pp. </w:t>
      </w:r>
      <w:r w:rsidR="485AD16C" w:rsidRPr="00742C01">
        <w:rPr>
          <w:rFonts w:eastAsia="Calibri"/>
          <w:color w:val="000000" w:themeColor="text1"/>
        </w:rPr>
        <w:t>1-20</w:t>
      </w:r>
      <w:r w:rsidRPr="00742C01">
        <w:rPr>
          <w:rFonts w:eastAsia="Calibri"/>
          <w:color w:val="000000" w:themeColor="text1"/>
        </w:rPr>
        <w:t xml:space="preserve">. Available at:  </w:t>
      </w:r>
      <w:hyperlink r:id="rId15">
        <w:r w:rsidRPr="00742C01">
          <w:rPr>
            <w:rStyle w:val="Hyperlink"/>
          </w:rPr>
          <w:t>https://journals.sagepub.com/doi/epub/10.1177/1097184X17706401</w:t>
        </w:r>
      </w:hyperlink>
      <w:r w:rsidRPr="00742C01">
        <w:rPr>
          <w:rFonts w:eastAsia="Calibri"/>
          <w:color w:val="000000" w:themeColor="text1"/>
        </w:rPr>
        <w:t xml:space="preserve"> (Accessed: </w:t>
      </w:r>
      <w:r w:rsidR="221DB31C" w:rsidRPr="00742C01">
        <w:rPr>
          <w:rFonts w:eastAsia="Calibri"/>
          <w:color w:val="000000" w:themeColor="text1"/>
        </w:rPr>
        <w:t>20 May</w:t>
      </w:r>
      <w:r w:rsidRPr="00742C01">
        <w:rPr>
          <w:rFonts w:eastAsia="Calibri"/>
          <w:color w:val="000000" w:themeColor="text1"/>
        </w:rPr>
        <w:t xml:space="preserve"> 2026).  </w:t>
      </w:r>
    </w:p>
    <w:p w14:paraId="47B91A16" w14:textId="66709DB8"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proofErr w:type="spellStart"/>
      <w:r w:rsidRPr="00742C01">
        <w:rPr>
          <w:rFonts w:eastAsia="Calibri"/>
          <w:color w:val="000000" w:themeColor="text1"/>
        </w:rPr>
        <w:t>Haslop</w:t>
      </w:r>
      <w:proofErr w:type="spellEnd"/>
      <w:r w:rsidRPr="00742C01">
        <w:rPr>
          <w:rFonts w:eastAsia="Calibri"/>
          <w:color w:val="000000" w:themeColor="text1"/>
        </w:rPr>
        <w:t xml:space="preserve">, C., Ringrose, J., </w:t>
      </w:r>
      <w:proofErr w:type="spellStart"/>
      <w:r w:rsidRPr="00742C01">
        <w:rPr>
          <w:rFonts w:eastAsia="Calibri"/>
          <w:color w:val="000000" w:themeColor="text1"/>
        </w:rPr>
        <w:t>Cambazoglu</w:t>
      </w:r>
      <w:proofErr w:type="spellEnd"/>
      <w:r w:rsidRPr="00742C01">
        <w:rPr>
          <w:rFonts w:eastAsia="Calibri"/>
          <w:color w:val="000000" w:themeColor="text1"/>
        </w:rPr>
        <w:t xml:space="preserve">, I. and Milne, B. (2024) ‘Mainstreaming the manosphere’s misogyny through affective homosocial currencies: exploring how teen boys navigate the Andrew Tate effect’, </w:t>
      </w:r>
      <w:proofErr w:type="gramStart"/>
      <w:r w:rsidRPr="00742C01">
        <w:rPr>
          <w:rFonts w:eastAsia="Calibri"/>
          <w:i/>
          <w:iCs/>
          <w:color w:val="000000" w:themeColor="text1"/>
        </w:rPr>
        <w:t>Social Media</w:t>
      </w:r>
      <w:proofErr w:type="gramEnd"/>
      <w:r w:rsidRPr="00742C01">
        <w:rPr>
          <w:rFonts w:eastAsia="Calibri"/>
          <w:i/>
          <w:iCs/>
          <w:color w:val="000000" w:themeColor="text1"/>
        </w:rPr>
        <w:t xml:space="preserve"> + Society</w:t>
      </w:r>
      <w:r w:rsidRPr="00742C01">
        <w:rPr>
          <w:rFonts w:eastAsia="Calibri"/>
          <w:color w:val="000000" w:themeColor="text1"/>
        </w:rPr>
        <w:t xml:space="preserve">, 10(1), </w:t>
      </w:r>
      <w:r w:rsidR="56FCF3B7" w:rsidRPr="00742C01">
        <w:rPr>
          <w:rFonts w:eastAsia="Calibri"/>
          <w:color w:val="000000" w:themeColor="text1"/>
        </w:rPr>
        <w:t>pp. 1-11</w:t>
      </w:r>
      <w:r w:rsidRPr="00742C01">
        <w:rPr>
          <w:rFonts w:eastAsia="Calibri"/>
          <w:color w:val="000000" w:themeColor="text1"/>
        </w:rPr>
        <w:t xml:space="preserve">. Available at: </w:t>
      </w:r>
      <w:hyperlink r:id="rId16">
        <w:r w:rsidRPr="00742C01">
          <w:rPr>
            <w:rStyle w:val="Hyperlink"/>
          </w:rPr>
          <w:t>https://doi.org/10.1177/20563051241228811</w:t>
        </w:r>
      </w:hyperlink>
      <w:r w:rsidRPr="00742C01">
        <w:rPr>
          <w:rFonts w:eastAsia="Calibri"/>
          <w:color w:val="000000" w:themeColor="text1"/>
        </w:rPr>
        <w:t xml:space="preserve"> (Accessed: </w:t>
      </w:r>
      <w:r w:rsidR="577109DD" w:rsidRPr="00742C01">
        <w:rPr>
          <w:rFonts w:eastAsia="Calibri"/>
          <w:color w:val="000000" w:themeColor="text1"/>
        </w:rPr>
        <w:t>21 May</w:t>
      </w:r>
      <w:r w:rsidRPr="00742C01">
        <w:rPr>
          <w:rFonts w:eastAsia="Calibri"/>
          <w:color w:val="000000" w:themeColor="text1"/>
        </w:rPr>
        <w:t xml:space="preserve"> 2026).</w:t>
      </w:r>
    </w:p>
    <w:p w14:paraId="1A6BD6BD" w14:textId="6664398B" w:rsidR="53D6DA90" w:rsidRPr="00742C01" w:rsidRDefault="4E9CCFA6" w:rsidP="00455404">
      <w:pPr>
        <w:shd w:val="clear" w:color="auto" w:fill="FFFFFF" w:themeFill="background1"/>
        <w:spacing w:after="0" w:line="360" w:lineRule="auto"/>
        <w:ind w:left="720" w:hanging="720"/>
      </w:pPr>
      <w:r w:rsidRPr="00742C01">
        <w:rPr>
          <w:rFonts w:eastAsia="Calibri"/>
          <w:color w:val="000000" w:themeColor="text1"/>
        </w:rPr>
        <w:t xml:space="preserve">Lee, F. &amp; Tate, A. (2025) </w:t>
      </w:r>
      <w:r w:rsidRPr="00742C01">
        <w:rPr>
          <w:rFonts w:eastAsia="Calibri"/>
          <w:i/>
          <w:iCs/>
          <w:color w:val="000000" w:themeColor="text1"/>
        </w:rPr>
        <w:t xml:space="preserve">Andrew Tate on the Role of WOMEN in Society </w:t>
      </w:r>
      <w:r w:rsidRPr="00742C01">
        <w:rPr>
          <w:rFonts w:eastAsia="Calibri"/>
          <w:color w:val="000000" w:themeColor="text1"/>
        </w:rPr>
        <w:t xml:space="preserve">[YouTube video], 19 April 2025. Available at: </w:t>
      </w:r>
      <w:hyperlink r:id="rId17">
        <w:r w:rsidRPr="00742C01">
          <w:rPr>
            <w:rStyle w:val="Hyperlink"/>
          </w:rPr>
          <w:t>https://www.youtube.com/watch?v=k_BC99MjSqk&amp;t=491s</w:t>
        </w:r>
      </w:hyperlink>
      <w:r w:rsidRPr="00742C01">
        <w:rPr>
          <w:rFonts w:eastAsia="Calibri"/>
          <w:color w:val="000000" w:themeColor="text1"/>
        </w:rPr>
        <w:t xml:space="preserve"> (Accessed: 16 March 2026).</w:t>
      </w:r>
    </w:p>
    <w:p w14:paraId="1AF7F5EB" w14:textId="0191A884" w:rsidR="076D1D8A" w:rsidRPr="00742C01" w:rsidRDefault="076D1D8A" w:rsidP="00455404">
      <w:pPr>
        <w:shd w:val="clear" w:color="auto" w:fill="FFFFFF" w:themeFill="background1"/>
        <w:spacing w:before="75" w:after="225" w:line="360" w:lineRule="auto"/>
        <w:ind w:left="720" w:hanging="720"/>
        <w:rPr>
          <w:rFonts w:eastAsia="Calibri"/>
        </w:rPr>
      </w:pPr>
      <w:r w:rsidRPr="00742C01">
        <w:rPr>
          <w:rFonts w:eastAsia="Calibri"/>
          <w:color w:val="000000" w:themeColor="text1"/>
        </w:rPr>
        <w:t xml:space="preserve">Medien, K. (2025a) ‘6.2 Discourse Analysis’. </w:t>
      </w:r>
      <w:r w:rsidRPr="00742C01">
        <w:rPr>
          <w:rFonts w:eastAsia="Calibri"/>
          <w:i/>
          <w:iCs/>
          <w:color w:val="000000" w:themeColor="text1"/>
        </w:rPr>
        <w:t>DD328: Sociology Special Project Module</w:t>
      </w:r>
      <w:r w:rsidRPr="00742C01">
        <w:rPr>
          <w:rFonts w:eastAsia="Calibri"/>
          <w:color w:val="000000" w:themeColor="text1"/>
        </w:rPr>
        <w:t xml:space="preserve">. Available at: </w:t>
      </w:r>
      <w:hyperlink r:id="rId18">
        <w:r w:rsidRPr="00742C01">
          <w:rPr>
            <w:rStyle w:val="Hyperlink"/>
          </w:rPr>
          <w:t>https://learn2.open.ac.uk/mod/oucontent/view.php?id=2462926&amp;section=6.2</w:t>
        </w:r>
      </w:hyperlink>
      <w:r w:rsidRPr="00742C01">
        <w:rPr>
          <w:rFonts w:eastAsia="Calibri"/>
          <w:color w:val="000000" w:themeColor="text1"/>
        </w:rPr>
        <w:t xml:space="preserve"> (Accessed: </w:t>
      </w:r>
      <w:r w:rsidR="208D15B1" w:rsidRPr="00742C01">
        <w:rPr>
          <w:rFonts w:eastAsia="Calibri"/>
          <w:color w:val="000000" w:themeColor="text1"/>
        </w:rPr>
        <w:t>15</w:t>
      </w:r>
      <w:r w:rsidRPr="00742C01">
        <w:rPr>
          <w:rFonts w:eastAsia="Calibri"/>
          <w:color w:val="000000" w:themeColor="text1"/>
        </w:rPr>
        <w:t xml:space="preserve"> Ma</w:t>
      </w:r>
      <w:r w:rsidR="548ABA5C" w:rsidRPr="00742C01">
        <w:rPr>
          <w:rFonts w:eastAsia="Calibri"/>
          <w:color w:val="000000" w:themeColor="text1"/>
        </w:rPr>
        <w:t>y</w:t>
      </w:r>
      <w:r w:rsidRPr="00742C01">
        <w:rPr>
          <w:rFonts w:eastAsia="Calibri"/>
          <w:color w:val="000000" w:themeColor="text1"/>
        </w:rPr>
        <w:t xml:space="preserve"> 2026).</w:t>
      </w:r>
    </w:p>
    <w:p w14:paraId="4101EB19" w14:textId="488F837E" w:rsidR="7C5E40FE" w:rsidRPr="00742C01" w:rsidRDefault="03D9AFD6" w:rsidP="00455404">
      <w:pPr>
        <w:shd w:val="clear" w:color="auto" w:fill="FFFFFF" w:themeFill="background1"/>
        <w:spacing w:before="75" w:after="225" w:line="360" w:lineRule="auto"/>
        <w:ind w:left="720" w:hanging="720"/>
      </w:pPr>
      <w:r w:rsidRPr="00742C01">
        <w:rPr>
          <w:rFonts w:eastAsia="Calibri"/>
          <w:color w:val="000000" w:themeColor="text1"/>
        </w:rPr>
        <w:t>Medien, K. (2025</w:t>
      </w:r>
      <w:r w:rsidR="5847196A" w:rsidRPr="00742C01">
        <w:rPr>
          <w:rFonts w:eastAsia="Calibri"/>
          <w:color w:val="000000" w:themeColor="text1"/>
        </w:rPr>
        <w:t>b</w:t>
      </w:r>
      <w:r w:rsidRPr="00742C01">
        <w:rPr>
          <w:rFonts w:eastAsia="Calibri"/>
          <w:color w:val="000000" w:themeColor="text1"/>
        </w:rPr>
        <w:t xml:space="preserve">) ‘Documentary research and analysis’, in Carter, S., </w:t>
      </w:r>
      <w:proofErr w:type="spellStart"/>
      <w:r w:rsidRPr="00742C01">
        <w:rPr>
          <w:rFonts w:eastAsia="Calibri"/>
          <w:color w:val="000000" w:themeColor="text1"/>
        </w:rPr>
        <w:t>Kocabicak</w:t>
      </w:r>
      <w:proofErr w:type="spellEnd"/>
      <w:r w:rsidRPr="00742C01">
        <w:rPr>
          <w:rFonts w:eastAsia="Calibri"/>
          <w:color w:val="000000" w:themeColor="text1"/>
        </w:rPr>
        <w:t xml:space="preserve">, E. (eds.) </w:t>
      </w:r>
      <w:r w:rsidRPr="00742C01">
        <w:rPr>
          <w:rFonts w:eastAsia="Calibri"/>
          <w:i/>
          <w:iCs/>
          <w:color w:val="000000" w:themeColor="text1"/>
        </w:rPr>
        <w:t xml:space="preserve">Sociology Special Project Module. </w:t>
      </w:r>
      <w:r w:rsidRPr="00742C01">
        <w:rPr>
          <w:rFonts w:eastAsia="Calibri"/>
          <w:color w:val="000000" w:themeColor="text1"/>
        </w:rPr>
        <w:t>Milton Keynes: The Open University, pp. 195-215.</w:t>
      </w:r>
    </w:p>
    <w:p w14:paraId="18EE9A53" w14:textId="51CC62E4"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Netflix (2025) </w:t>
      </w:r>
      <w:r w:rsidRPr="00742C01">
        <w:rPr>
          <w:rFonts w:eastAsia="Calibri"/>
          <w:i/>
          <w:iCs/>
          <w:color w:val="000000" w:themeColor="text1"/>
        </w:rPr>
        <w:t>Netflix makes ‘Adolescence’ available to all secondary schools across the UK</w:t>
      </w:r>
      <w:r w:rsidRPr="00742C01">
        <w:rPr>
          <w:rFonts w:eastAsia="Calibri"/>
          <w:color w:val="000000" w:themeColor="text1"/>
        </w:rPr>
        <w:t xml:space="preserve">. Available at: </w:t>
      </w:r>
      <w:hyperlink r:id="rId19">
        <w:r w:rsidRPr="00742C01">
          <w:rPr>
            <w:rStyle w:val="Hyperlink"/>
          </w:rPr>
          <w:t>https://about.netflix.com/en/news/netflix-makes-adolescence-available-to-all-secondary-schools-across-the-uk</w:t>
        </w:r>
      </w:hyperlink>
      <w:r w:rsidRPr="00742C01">
        <w:rPr>
          <w:rFonts w:eastAsia="Calibri"/>
          <w:color w:val="000000" w:themeColor="text1"/>
        </w:rPr>
        <w:t xml:space="preserve"> (Accessed: 15 February 2026).</w:t>
      </w:r>
    </w:p>
    <w:p w14:paraId="428E6AB1" w14:textId="56F8B253"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Ofcom (2025) </w:t>
      </w:r>
      <w:r w:rsidRPr="00742C01">
        <w:rPr>
          <w:rFonts w:eastAsia="Calibri"/>
          <w:i/>
          <w:iCs/>
          <w:color w:val="000000" w:themeColor="text1"/>
        </w:rPr>
        <w:t>Experiences of engaging with the manosphere</w:t>
      </w:r>
      <w:r w:rsidR="21DA4AA3" w:rsidRPr="00742C01">
        <w:rPr>
          <w:rFonts w:eastAsia="Calibri"/>
          <w:i/>
          <w:iCs/>
          <w:color w:val="000000" w:themeColor="text1"/>
        </w:rPr>
        <w:t xml:space="preserve">, </w:t>
      </w:r>
      <w:r w:rsidR="21DA4AA3" w:rsidRPr="00742C01">
        <w:rPr>
          <w:rFonts w:eastAsia="Calibri"/>
          <w:color w:val="000000" w:themeColor="text1"/>
        </w:rPr>
        <w:t>pp. 1-65</w:t>
      </w:r>
      <w:r w:rsidRPr="00742C01">
        <w:rPr>
          <w:rFonts w:eastAsia="Calibri"/>
          <w:color w:val="000000" w:themeColor="text1"/>
        </w:rPr>
        <w:t xml:space="preserve">. Available at: </w:t>
      </w:r>
      <w:hyperlink r:id="rId20">
        <w:r w:rsidRPr="00742C01">
          <w:rPr>
            <w:rStyle w:val="Hyperlink"/>
          </w:rPr>
          <w:t>https://www.ofcom.org.uk/siteassets/resources/documents/online-safety/research-statistics-and-data/protecting-children/experiences-of-engaging-with-the-manosphere.pdf</w:t>
        </w:r>
      </w:hyperlink>
      <w:r w:rsidRPr="00742C01">
        <w:rPr>
          <w:rFonts w:eastAsia="Calibri"/>
          <w:color w:val="000000" w:themeColor="text1"/>
        </w:rPr>
        <w:t xml:space="preserve"> (Accessed: </w:t>
      </w:r>
      <w:r w:rsidR="2AA3B631" w:rsidRPr="00742C01">
        <w:rPr>
          <w:rFonts w:eastAsia="Calibri"/>
          <w:color w:val="000000" w:themeColor="text1"/>
        </w:rPr>
        <w:t>19 May</w:t>
      </w:r>
      <w:r w:rsidRPr="00742C01">
        <w:rPr>
          <w:rFonts w:eastAsia="Calibri"/>
          <w:color w:val="000000" w:themeColor="text1"/>
        </w:rPr>
        <w:t xml:space="preserve"> 2026).</w:t>
      </w:r>
    </w:p>
    <w:p w14:paraId="6AB386FF" w14:textId="18B81B5E" w:rsidR="665A7ED1" w:rsidRPr="00742C01" w:rsidRDefault="61E1982E" w:rsidP="00455404">
      <w:pPr>
        <w:shd w:val="clear" w:color="auto" w:fill="FFFFFF" w:themeFill="background1"/>
        <w:spacing w:before="75" w:after="225" w:line="360" w:lineRule="auto"/>
        <w:ind w:left="720" w:hanging="720"/>
      </w:pPr>
      <w:r w:rsidRPr="00742C01">
        <w:rPr>
          <w:rFonts w:eastAsia="Calibri"/>
          <w:color w:val="000000" w:themeColor="text1"/>
        </w:rPr>
        <w:t xml:space="preserve">Roberts, S., Jones, C., Nicholas, L., Wescott, S. and Maloney, M. (2025) ‘Beyond the clickbait: Analysing the masculinist ideology in Andrew Tate’s online written discourses’, </w:t>
      </w:r>
      <w:r w:rsidRPr="00742C01">
        <w:rPr>
          <w:rFonts w:eastAsia="Calibri"/>
          <w:i/>
          <w:iCs/>
          <w:color w:val="000000" w:themeColor="text1"/>
        </w:rPr>
        <w:lastRenderedPageBreak/>
        <w:t>Cultural Sociology</w:t>
      </w:r>
      <w:r w:rsidR="1FEC3268" w:rsidRPr="00742C01">
        <w:rPr>
          <w:rFonts w:eastAsia="Calibri"/>
          <w:i/>
          <w:iCs/>
          <w:color w:val="000000" w:themeColor="text1"/>
        </w:rPr>
        <w:t xml:space="preserve">, </w:t>
      </w:r>
      <w:r w:rsidR="1FEC3268" w:rsidRPr="00742C01">
        <w:rPr>
          <w:rFonts w:eastAsia="Calibri"/>
          <w:color w:val="000000" w:themeColor="text1"/>
        </w:rPr>
        <w:t>pp. 1-25</w:t>
      </w:r>
      <w:r w:rsidRPr="00742C01">
        <w:rPr>
          <w:rFonts w:eastAsia="Calibri"/>
          <w:color w:val="000000" w:themeColor="text1"/>
        </w:rPr>
        <w:t xml:space="preserve">. Available at: </w:t>
      </w:r>
      <w:hyperlink r:id="rId21">
        <w:r w:rsidRPr="00742C01">
          <w:rPr>
            <w:rStyle w:val="Hyperlink"/>
          </w:rPr>
          <w:t>https://doi.org/10.1177/17499755241307414</w:t>
        </w:r>
      </w:hyperlink>
      <w:r w:rsidRPr="00742C01">
        <w:rPr>
          <w:rFonts w:eastAsia="Calibri"/>
          <w:color w:val="000000" w:themeColor="text1"/>
        </w:rPr>
        <w:t xml:space="preserve"> (Accessed: </w:t>
      </w:r>
      <w:r w:rsidR="274013F8" w:rsidRPr="00742C01">
        <w:rPr>
          <w:rFonts w:eastAsia="Calibri"/>
          <w:color w:val="000000" w:themeColor="text1"/>
        </w:rPr>
        <w:t>22 May</w:t>
      </w:r>
      <w:r w:rsidRPr="00742C01">
        <w:rPr>
          <w:rFonts w:eastAsia="Calibri"/>
          <w:color w:val="000000" w:themeColor="text1"/>
        </w:rPr>
        <w:t xml:space="preserve"> 2026). </w:t>
      </w:r>
      <w:r w:rsidRPr="00742C01">
        <w:t xml:space="preserve"> </w:t>
      </w:r>
    </w:p>
    <w:p w14:paraId="30249D4A" w14:textId="5CD5BF89"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Robinson, A. (2025) </w:t>
      </w:r>
      <w:r w:rsidRPr="00742C01">
        <w:rPr>
          <w:rFonts w:eastAsia="Calibri"/>
          <w:i/>
          <w:iCs/>
          <w:color w:val="000000" w:themeColor="text1"/>
        </w:rPr>
        <w:t>Adolescence release date &amp; time for Stephen Graham Netflix drama</w:t>
      </w:r>
      <w:r w:rsidRPr="00742C01">
        <w:rPr>
          <w:rFonts w:eastAsia="Calibri"/>
          <w:color w:val="000000" w:themeColor="text1"/>
        </w:rPr>
        <w:t xml:space="preserve">. Available at: </w:t>
      </w:r>
      <w:hyperlink r:id="rId22">
        <w:r w:rsidRPr="00742C01">
          <w:rPr>
            <w:rStyle w:val="Hyperlink"/>
          </w:rPr>
          <w:t>https://www.radiotimes.com/tv/drama/adolescence-release-date-netflix/</w:t>
        </w:r>
      </w:hyperlink>
      <w:r w:rsidRPr="00742C01">
        <w:rPr>
          <w:rFonts w:eastAsia="Calibri"/>
          <w:color w:val="000000" w:themeColor="text1"/>
        </w:rPr>
        <w:t xml:space="preserve"> (Accessed: 16 Februar</w:t>
      </w:r>
      <w:r w:rsidR="296F5436" w:rsidRPr="00742C01">
        <w:rPr>
          <w:rFonts w:eastAsia="Calibri"/>
          <w:color w:val="000000" w:themeColor="text1"/>
        </w:rPr>
        <w:t>y</w:t>
      </w:r>
      <w:r w:rsidRPr="00742C01">
        <w:rPr>
          <w:rFonts w:eastAsia="Calibri"/>
          <w:color w:val="000000" w:themeColor="text1"/>
        </w:rPr>
        <w:t xml:space="preserve"> 2026).</w:t>
      </w:r>
    </w:p>
    <w:p w14:paraId="31B4EA05" w14:textId="712A6B94"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proofErr w:type="spellStart"/>
      <w:r w:rsidRPr="00742C01">
        <w:rPr>
          <w:rFonts w:eastAsia="Calibri"/>
          <w:color w:val="000000" w:themeColor="text1"/>
        </w:rPr>
        <w:t>Sinmaz</w:t>
      </w:r>
      <w:proofErr w:type="spellEnd"/>
      <w:r w:rsidRPr="00742C01">
        <w:rPr>
          <w:rFonts w:eastAsia="Calibri"/>
          <w:color w:val="000000" w:themeColor="text1"/>
        </w:rPr>
        <w:t xml:space="preserve">, E. (2025) </w:t>
      </w:r>
      <w:r w:rsidRPr="00742C01">
        <w:rPr>
          <w:rFonts w:eastAsia="Calibri"/>
          <w:i/>
          <w:iCs/>
          <w:color w:val="000000" w:themeColor="text1"/>
        </w:rPr>
        <w:t>Kyle Clifford watched Andrew Tate videos before triple murder</w:t>
      </w:r>
      <w:r w:rsidRPr="00742C01">
        <w:rPr>
          <w:rFonts w:eastAsia="Calibri"/>
          <w:color w:val="000000" w:themeColor="text1"/>
        </w:rPr>
        <w:t>.</w:t>
      </w:r>
      <w:r w:rsidRPr="00742C01">
        <w:rPr>
          <w:rFonts w:eastAsia="Calibri"/>
          <w:i/>
          <w:iCs/>
          <w:color w:val="000000" w:themeColor="text1"/>
        </w:rPr>
        <w:t xml:space="preserve"> </w:t>
      </w:r>
      <w:r w:rsidRPr="00742C01">
        <w:rPr>
          <w:rFonts w:eastAsia="Calibri"/>
          <w:color w:val="000000" w:themeColor="text1"/>
        </w:rPr>
        <w:t xml:space="preserve">Available at: </w:t>
      </w:r>
      <w:hyperlink r:id="rId23">
        <w:r w:rsidRPr="00742C01">
          <w:rPr>
            <w:rStyle w:val="Hyperlink"/>
          </w:rPr>
          <w:t>https://www.theguardian.com/uk-news/2025/mar/06/kyle-clifford-watched-andrew-tate-videos-before-triple</w:t>
        </w:r>
      </w:hyperlink>
      <w:r w:rsidRPr="00742C01">
        <w:rPr>
          <w:rFonts w:eastAsia="Calibri"/>
          <w:color w:val="000000" w:themeColor="text1"/>
        </w:rPr>
        <w:t xml:space="preserve"> (Accessed: 15 February 2026).</w:t>
      </w:r>
    </w:p>
    <w:p w14:paraId="1968685D" w14:textId="17B695E4" w:rsidR="1ABABFF0" w:rsidRPr="00742C01" w:rsidRDefault="64943BF5"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Tanner, S. and Gillardin, F. (2025) ‘Toxic communication on TikTok: Sigma masculinities and gendered disinformation’, </w:t>
      </w:r>
      <w:proofErr w:type="gramStart"/>
      <w:r w:rsidRPr="00742C01">
        <w:rPr>
          <w:rFonts w:eastAsia="Calibri"/>
          <w:i/>
          <w:iCs/>
          <w:color w:val="000000" w:themeColor="text1"/>
        </w:rPr>
        <w:t>Social Media</w:t>
      </w:r>
      <w:proofErr w:type="gramEnd"/>
      <w:r w:rsidRPr="00742C01">
        <w:rPr>
          <w:rFonts w:eastAsia="Calibri"/>
          <w:i/>
          <w:iCs/>
          <w:color w:val="000000" w:themeColor="text1"/>
        </w:rPr>
        <w:t xml:space="preserve"> + Society, </w:t>
      </w:r>
      <w:r w:rsidRPr="00742C01">
        <w:rPr>
          <w:rFonts w:eastAsia="Calibri"/>
          <w:color w:val="000000" w:themeColor="text1"/>
        </w:rPr>
        <w:t>11(1)</w:t>
      </w:r>
      <w:r w:rsidR="2757AA93" w:rsidRPr="00742C01">
        <w:rPr>
          <w:rFonts w:eastAsia="Calibri"/>
          <w:color w:val="000000" w:themeColor="text1"/>
        </w:rPr>
        <w:t>, pp. 1-12</w:t>
      </w:r>
      <w:r w:rsidRPr="00742C01">
        <w:rPr>
          <w:rFonts w:eastAsia="Calibri"/>
          <w:color w:val="000000" w:themeColor="text1"/>
        </w:rPr>
        <w:t xml:space="preserve">. Available at: </w:t>
      </w:r>
      <w:hyperlink r:id="rId24">
        <w:r w:rsidRPr="00742C01">
          <w:rPr>
            <w:rStyle w:val="Hyperlink"/>
          </w:rPr>
          <w:t>https://journals.sagepub.com/doi/epub/10.1177/20563051251313844</w:t>
        </w:r>
      </w:hyperlink>
      <w:r w:rsidRPr="00742C01">
        <w:rPr>
          <w:rFonts w:eastAsia="Calibri"/>
          <w:color w:val="000000" w:themeColor="text1"/>
        </w:rPr>
        <w:t xml:space="preserve"> (Accessed: </w:t>
      </w:r>
      <w:r w:rsidR="0807C2C1" w:rsidRPr="00742C01">
        <w:rPr>
          <w:rFonts w:eastAsia="Calibri"/>
          <w:color w:val="000000" w:themeColor="text1"/>
        </w:rPr>
        <w:t>21 May</w:t>
      </w:r>
      <w:r w:rsidRPr="00742C01">
        <w:rPr>
          <w:rFonts w:eastAsia="Calibri"/>
          <w:color w:val="000000" w:themeColor="text1"/>
        </w:rPr>
        <w:t xml:space="preserve"> 2026).</w:t>
      </w:r>
    </w:p>
    <w:p w14:paraId="0564262E" w14:textId="62862ECE" w:rsidR="3E6B6979" w:rsidRPr="003B60E5" w:rsidRDefault="64943BF5" w:rsidP="00455404">
      <w:pPr>
        <w:shd w:val="clear" w:color="auto" w:fill="FFFFFF" w:themeFill="background1"/>
        <w:spacing w:before="75" w:after="225" w:line="360" w:lineRule="auto"/>
        <w:ind w:left="720" w:hanging="720"/>
        <w:rPr>
          <w:rFonts w:eastAsia="Calibri"/>
          <w:color w:val="000000" w:themeColor="text1"/>
        </w:rPr>
      </w:pPr>
      <w:r w:rsidRPr="527E454D">
        <w:rPr>
          <w:rFonts w:eastAsia="Calibri"/>
          <w:color w:val="000000" w:themeColor="text1"/>
        </w:rPr>
        <w:t xml:space="preserve">United Nations General Assembly (2024) </w:t>
      </w:r>
      <w:r w:rsidRPr="527E454D">
        <w:rPr>
          <w:rFonts w:eastAsia="Calibri"/>
          <w:i/>
          <w:color w:val="000000" w:themeColor="text1"/>
        </w:rPr>
        <w:t>Report of the Secretary-General on intensification of efforts to eliminate all forms of violence against women and girls: technology-facilitated violence against women and girls</w:t>
      </w:r>
      <w:r w:rsidRPr="527E454D">
        <w:rPr>
          <w:rFonts w:eastAsia="Calibri"/>
          <w:color w:val="000000" w:themeColor="text1"/>
        </w:rPr>
        <w:t xml:space="preserve"> (Document A/79/500)</w:t>
      </w:r>
      <w:r w:rsidR="604FCFF7" w:rsidRPr="527E454D">
        <w:rPr>
          <w:rFonts w:eastAsia="Calibri"/>
          <w:color w:val="000000" w:themeColor="text1"/>
        </w:rPr>
        <w:t>, pp. 1-19</w:t>
      </w:r>
      <w:r w:rsidRPr="527E454D">
        <w:rPr>
          <w:rFonts w:eastAsia="Calibri"/>
          <w:color w:val="000000" w:themeColor="text1"/>
        </w:rPr>
        <w:t xml:space="preserve">. Available at: </w:t>
      </w:r>
      <w:hyperlink r:id="rId25">
        <w:r w:rsidRPr="527E454D">
          <w:rPr>
            <w:rStyle w:val="Hyperlink"/>
          </w:rPr>
          <w:t>https://docs.un.org/en/A/79/500</w:t>
        </w:r>
      </w:hyperlink>
      <w:r w:rsidRPr="527E454D">
        <w:rPr>
          <w:rFonts w:eastAsia="Calibri"/>
          <w:color w:val="000000" w:themeColor="text1"/>
        </w:rPr>
        <w:t xml:space="preserve"> (Accessed: 15 </w:t>
      </w:r>
      <w:r w:rsidR="41B00390" w:rsidRPr="527E454D">
        <w:rPr>
          <w:rFonts w:eastAsia="Calibri"/>
          <w:color w:val="000000" w:themeColor="text1"/>
        </w:rPr>
        <w:t>May</w:t>
      </w:r>
      <w:r w:rsidRPr="527E454D">
        <w:rPr>
          <w:rFonts w:eastAsia="Calibri"/>
          <w:color w:val="000000" w:themeColor="text1"/>
        </w:rPr>
        <w:t xml:space="preserve"> 2026</w:t>
      </w:r>
      <w:r w:rsidRPr="0B24E1F3">
        <w:rPr>
          <w:rFonts w:eastAsia="Calibri"/>
          <w:color w:val="000000" w:themeColor="text1"/>
        </w:rPr>
        <w:t>)</w:t>
      </w:r>
      <w:r w:rsidR="14898743" w:rsidRPr="0B24E1F3">
        <w:rPr>
          <w:rFonts w:eastAsia="Calibri"/>
          <w:color w:val="000000" w:themeColor="text1"/>
        </w:rPr>
        <w:t>.</w:t>
      </w:r>
    </w:p>
    <w:p w14:paraId="1D47A815" w14:textId="418764C2" w:rsidR="3E784136" w:rsidRPr="00742C01" w:rsidRDefault="3E784136" w:rsidP="00455404">
      <w:pPr>
        <w:shd w:val="clear" w:color="auto" w:fill="FFFFFF" w:themeFill="background1"/>
        <w:spacing w:before="75" w:after="225" w:line="360" w:lineRule="auto"/>
        <w:ind w:left="720" w:hanging="720"/>
        <w:rPr>
          <w:rFonts w:eastAsia="Calibri"/>
          <w:color w:val="000000" w:themeColor="text1"/>
        </w:rPr>
      </w:pPr>
      <w:r w:rsidRPr="00742C01">
        <w:rPr>
          <w:rFonts w:eastAsia="Calibri"/>
          <w:color w:val="000000" w:themeColor="text1"/>
        </w:rPr>
        <w:t xml:space="preserve">Youngs, I. (2025) </w:t>
      </w:r>
      <w:r w:rsidRPr="00742C01">
        <w:rPr>
          <w:rFonts w:eastAsia="Calibri"/>
          <w:i/>
          <w:iCs/>
          <w:color w:val="000000" w:themeColor="text1"/>
        </w:rPr>
        <w:t>Adolescence writer calls for ‘radical action’ not role models</w:t>
      </w:r>
      <w:r w:rsidRPr="00742C01">
        <w:rPr>
          <w:rFonts w:eastAsia="Calibri"/>
          <w:color w:val="000000" w:themeColor="text1"/>
        </w:rPr>
        <w:t xml:space="preserve">. Available at: </w:t>
      </w:r>
      <w:hyperlink r:id="rId26">
        <w:r w:rsidR="3DD54184" w:rsidRPr="00742C01">
          <w:rPr>
            <w:rStyle w:val="Hyperlink"/>
          </w:rPr>
          <w:t>https://www.bbc.co.uk/news/articles/c0egyyq1z47o</w:t>
        </w:r>
      </w:hyperlink>
      <w:r w:rsidR="3DD54184" w:rsidRPr="00742C01">
        <w:rPr>
          <w:rFonts w:eastAsia="Calibri"/>
          <w:color w:val="000000" w:themeColor="text1"/>
        </w:rPr>
        <w:t xml:space="preserve"> </w:t>
      </w:r>
      <w:r w:rsidRPr="00742C01">
        <w:rPr>
          <w:rFonts w:eastAsia="Calibri"/>
          <w:color w:val="000000" w:themeColor="text1"/>
        </w:rPr>
        <w:t xml:space="preserve">(Accessed: </w:t>
      </w:r>
      <w:r w:rsidR="561A4AE2" w:rsidRPr="00742C01">
        <w:rPr>
          <w:rFonts w:eastAsia="Calibri"/>
          <w:color w:val="000000" w:themeColor="text1"/>
        </w:rPr>
        <w:t>27</w:t>
      </w:r>
      <w:r w:rsidRPr="00742C01">
        <w:rPr>
          <w:rFonts w:eastAsia="Calibri"/>
          <w:color w:val="000000" w:themeColor="text1"/>
        </w:rPr>
        <w:t xml:space="preserve"> </w:t>
      </w:r>
      <w:r w:rsidR="2AC5F26F" w:rsidRPr="00742C01">
        <w:rPr>
          <w:rFonts w:eastAsia="Calibri"/>
          <w:color w:val="000000" w:themeColor="text1"/>
        </w:rPr>
        <w:t>May</w:t>
      </w:r>
      <w:r w:rsidRPr="00742C01">
        <w:rPr>
          <w:rFonts w:eastAsia="Calibri"/>
          <w:color w:val="000000" w:themeColor="text1"/>
        </w:rPr>
        <w:t xml:space="preserve"> 2026).</w:t>
      </w:r>
    </w:p>
    <w:p w14:paraId="2DD9A5C2" w14:textId="3D33ADDD" w:rsidR="04B86CD7" w:rsidRPr="00742C01" w:rsidRDefault="04B86CD7" w:rsidP="00455404">
      <w:pPr>
        <w:shd w:val="clear" w:color="auto" w:fill="FFFFFF" w:themeFill="background1"/>
        <w:spacing w:before="75" w:after="225" w:line="360" w:lineRule="auto"/>
        <w:ind w:left="720" w:hanging="720"/>
        <w:rPr>
          <w:rFonts w:eastAsia="Calibri"/>
          <w:color w:val="000000" w:themeColor="text1"/>
        </w:rPr>
      </w:pPr>
    </w:p>
    <w:p w14:paraId="2BBAD6D5" w14:textId="77777777" w:rsidR="008B2C12" w:rsidRDefault="008B2C12" w:rsidP="00455404">
      <w:pPr>
        <w:shd w:val="clear" w:color="auto" w:fill="FFFFFF" w:themeFill="background1"/>
        <w:spacing w:before="75" w:after="225" w:line="360" w:lineRule="auto"/>
        <w:ind w:left="720" w:hanging="720"/>
        <w:rPr>
          <w:rFonts w:eastAsia="Calibri"/>
          <w:color w:val="000000" w:themeColor="text1"/>
        </w:rPr>
      </w:pPr>
    </w:p>
    <w:p w14:paraId="623F0F4E" w14:textId="77777777" w:rsidR="005D2EA3" w:rsidRPr="00742C01" w:rsidRDefault="005D2EA3" w:rsidP="00455404">
      <w:pPr>
        <w:shd w:val="clear" w:color="auto" w:fill="FFFFFF" w:themeFill="background1"/>
        <w:spacing w:before="75" w:after="225" w:line="360" w:lineRule="auto"/>
        <w:ind w:left="720" w:hanging="720"/>
        <w:rPr>
          <w:rFonts w:eastAsia="Calibri"/>
          <w:color w:val="000000" w:themeColor="text1"/>
        </w:rPr>
      </w:pPr>
    </w:p>
    <w:p w14:paraId="2918B60A" w14:textId="77777777" w:rsidR="008B2C12" w:rsidRDefault="008B2C12" w:rsidP="00455404">
      <w:pPr>
        <w:shd w:val="clear" w:color="auto" w:fill="FFFFFF" w:themeFill="background1"/>
        <w:spacing w:before="75" w:after="225" w:line="360" w:lineRule="auto"/>
        <w:ind w:left="720" w:hanging="720"/>
        <w:rPr>
          <w:rFonts w:eastAsia="Calibri"/>
          <w:color w:val="000000" w:themeColor="text1"/>
        </w:rPr>
      </w:pPr>
    </w:p>
    <w:p w14:paraId="62D1457D" w14:textId="77777777" w:rsidR="005D2EA3" w:rsidRPr="00742C01" w:rsidRDefault="005D2EA3" w:rsidP="00455404">
      <w:pPr>
        <w:shd w:val="clear" w:color="auto" w:fill="FFFFFF" w:themeFill="background1"/>
        <w:spacing w:before="75" w:after="225" w:line="360" w:lineRule="auto"/>
        <w:ind w:left="720" w:hanging="720"/>
        <w:rPr>
          <w:rFonts w:eastAsia="Calibri"/>
          <w:color w:val="000000" w:themeColor="text1"/>
        </w:rPr>
      </w:pPr>
    </w:p>
    <w:p w14:paraId="729F50D5" w14:textId="7AF3D80E" w:rsidR="1ABABFF0" w:rsidRPr="00742C01" w:rsidRDefault="2F3E8BF4" w:rsidP="00245FC3">
      <w:pPr>
        <w:pStyle w:val="Heading1"/>
        <w:rPr>
          <w:rFonts w:eastAsiaTheme="minorEastAsia"/>
        </w:rPr>
      </w:pPr>
      <w:bookmarkStart w:id="27" w:name="_Toc2074759792"/>
      <w:bookmarkStart w:id="28" w:name="_Toc230797958"/>
      <w:bookmarkStart w:id="29" w:name="_Toc230802007"/>
      <w:r w:rsidRPr="00742C01">
        <w:rPr>
          <w:rFonts w:eastAsiaTheme="minorEastAsia"/>
        </w:rPr>
        <w:lastRenderedPageBreak/>
        <w:t>Appendix</w:t>
      </w:r>
      <w:bookmarkEnd w:id="27"/>
      <w:bookmarkEnd w:id="28"/>
      <w:bookmarkEnd w:id="29"/>
    </w:p>
    <w:p w14:paraId="27158F9E" w14:textId="7760E9B6" w:rsidR="4C82881B" w:rsidRPr="00742C01" w:rsidRDefault="4C82881B" w:rsidP="00245FC3">
      <w:pPr>
        <w:pStyle w:val="Heading2"/>
      </w:pPr>
      <w:bookmarkStart w:id="30" w:name="_Toc230802008"/>
      <w:r w:rsidRPr="00742C01">
        <w:t>Definitions</w:t>
      </w:r>
      <w:bookmarkEnd w:id="30"/>
    </w:p>
    <w:p w14:paraId="79CA1411" w14:textId="1A6265A6" w:rsidR="0092673E" w:rsidRPr="00742C01" w:rsidRDefault="0092673E" w:rsidP="00455404">
      <w:pPr>
        <w:pStyle w:val="ListParagraph"/>
        <w:numPr>
          <w:ilvl w:val="0"/>
          <w:numId w:val="7"/>
        </w:numPr>
        <w:spacing w:after="225" w:line="360" w:lineRule="auto"/>
        <w:rPr>
          <w:rFonts w:eastAsia="Calibri"/>
          <w:color w:val="000000" w:themeColor="text1"/>
        </w:rPr>
      </w:pPr>
      <w:r w:rsidRPr="00742C01">
        <w:rPr>
          <w:rFonts w:eastAsia="Calibri"/>
          <w:color w:val="000000" w:themeColor="text1"/>
        </w:rPr>
        <w:t xml:space="preserve">Involuntary celibates (Incels) have accepted the perceived fact that they will never find a romantic partner and have a nihilistic view that emphasises hopelessness and the futility of trying to improve your situation (Ofcom, 2025, p. 46). </w:t>
      </w:r>
    </w:p>
    <w:p w14:paraId="2D5A1BA8" w14:textId="1D6A2A40" w:rsidR="1ABABFF0" w:rsidRPr="00742C01" w:rsidRDefault="00E46B9F" w:rsidP="00455404">
      <w:pPr>
        <w:pStyle w:val="ListParagraph"/>
        <w:numPr>
          <w:ilvl w:val="0"/>
          <w:numId w:val="7"/>
        </w:numPr>
        <w:spacing w:after="225" w:line="360" w:lineRule="auto"/>
        <w:rPr>
          <w:rFonts w:eastAsia="Calibri"/>
          <w:color w:val="000000" w:themeColor="text1"/>
        </w:rPr>
      </w:pPr>
      <w:r w:rsidRPr="00742C01">
        <w:rPr>
          <w:rFonts w:eastAsia="Calibri"/>
          <w:color w:val="000000" w:themeColor="text1"/>
        </w:rPr>
        <w:t xml:space="preserve">The </w:t>
      </w:r>
      <w:r w:rsidR="00E17317" w:rsidRPr="00742C01">
        <w:rPr>
          <w:rFonts w:eastAsia="Calibri"/>
          <w:color w:val="000000" w:themeColor="text1"/>
        </w:rPr>
        <w:t>“</w:t>
      </w:r>
      <w:r w:rsidR="00523F46" w:rsidRPr="00742C01">
        <w:rPr>
          <w:rFonts w:eastAsia="Calibri"/>
          <w:color w:val="000000" w:themeColor="text1"/>
        </w:rPr>
        <w:t>m</w:t>
      </w:r>
      <w:r w:rsidR="0FE825BA" w:rsidRPr="00742C01">
        <w:rPr>
          <w:rFonts w:eastAsia="Calibri"/>
          <w:color w:val="000000" w:themeColor="text1"/>
        </w:rPr>
        <w:t>anosphere</w:t>
      </w:r>
      <w:r w:rsidR="00E17317" w:rsidRPr="00742C01">
        <w:rPr>
          <w:rFonts w:eastAsia="Calibri"/>
          <w:color w:val="000000" w:themeColor="text1"/>
        </w:rPr>
        <w:t>”</w:t>
      </w:r>
      <w:r w:rsidR="0FE825BA" w:rsidRPr="00742C01">
        <w:rPr>
          <w:rFonts w:eastAsia="Calibri"/>
          <w:color w:val="000000" w:themeColor="text1"/>
        </w:rPr>
        <w:t xml:space="preserve"> is a</w:t>
      </w:r>
      <w:r w:rsidR="00E17317" w:rsidRPr="00742C01">
        <w:rPr>
          <w:rFonts w:eastAsia="Calibri"/>
          <w:color w:val="000000" w:themeColor="text1"/>
        </w:rPr>
        <w:t xml:space="preserve"> </w:t>
      </w:r>
      <w:r w:rsidR="0FE825BA" w:rsidRPr="00742C01">
        <w:rPr>
          <w:rFonts w:eastAsia="Calibri"/>
          <w:color w:val="000000" w:themeColor="text1"/>
        </w:rPr>
        <w:t xml:space="preserve">collection of online communities </w:t>
      </w:r>
      <w:r w:rsidR="000345D3" w:rsidRPr="00742C01">
        <w:rPr>
          <w:rFonts w:eastAsia="Calibri"/>
          <w:color w:val="000000" w:themeColor="text1"/>
        </w:rPr>
        <w:t xml:space="preserve">found </w:t>
      </w:r>
      <w:r w:rsidR="00E17317" w:rsidRPr="00742C01">
        <w:rPr>
          <w:rFonts w:eastAsia="Calibri"/>
          <w:color w:val="000000" w:themeColor="text1"/>
        </w:rPr>
        <w:t>on social media websites</w:t>
      </w:r>
      <w:r w:rsidR="00322B6D" w:rsidRPr="00742C01">
        <w:rPr>
          <w:rFonts w:eastAsia="Calibri"/>
          <w:color w:val="000000" w:themeColor="text1"/>
        </w:rPr>
        <w:t xml:space="preserve">, </w:t>
      </w:r>
      <w:r w:rsidR="0FE825BA" w:rsidRPr="00742C01">
        <w:rPr>
          <w:rFonts w:eastAsia="Calibri"/>
          <w:color w:val="000000" w:themeColor="text1"/>
        </w:rPr>
        <w:t>chat groups</w:t>
      </w:r>
      <w:r w:rsidR="00322B6D" w:rsidRPr="00742C01">
        <w:rPr>
          <w:rFonts w:eastAsia="Calibri"/>
          <w:color w:val="000000" w:themeColor="text1"/>
        </w:rPr>
        <w:t xml:space="preserve"> and </w:t>
      </w:r>
      <w:r w:rsidR="0FE825BA" w:rsidRPr="00742C01">
        <w:rPr>
          <w:rFonts w:eastAsia="Calibri"/>
          <w:color w:val="000000" w:themeColor="text1"/>
        </w:rPr>
        <w:t>forum</w:t>
      </w:r>
      <w:r w:rsidR="00322B6D" w:rsidRPr="00742C01">
        <w:rPr>
          <w:rFonts w:eastAsia="Calibri"/>
          <w:color w:val="000000" w:themeColor="text1"/>
        </w:rPr>
        <w:t xml:space="preserve">s </w:t>
      </w:r>
      <w:r w:rsidR="0FE825BA" w:rsidRPr="00742C01">
        <w:rPr>
          <w:rFonts w:eastAsia="Calibri"/>
          <w:color w:val="000000" w:themeColor="text1"/>
        </w:rPr>
        <w:t>united by an opposition to feminism</w:t>
      </w:r>
      <w:r w:rsidR="006E6AA7" w:rsidRPr="00742C01">
        <w:rPr>
          <w:rFonts w:eastAsia="Calibri"/>
          <w:color w:val="000000" w:themeColor="text1"/>
        </w:rPr>
        <w:t xml:space="preserve"> </w:t>
      </w:r>
      <w:r w:rsidR="0FE825BA" w:rsidRPr="00742C01">
        <w:rPr>
          <w:rFonts w:eastAsia="Calibri"/>
          <w:color w:val="000000" w:themeColor="text1"/>
        </w:rPr>
        <w:t>(UNGA, 2024, p. 9)</w:t>
      </w:r>
    </w:p>
    <w:p w14:paraId="163783C4" w14:textId="5BCCAF6A" w:rsidR="003A7689" w:rsidRPr="00742C01" w:rsidRDefault="003A7689" w:rsidP="00455404">
      <w:pPr>
        <w:pStyle w:val="ListParagraph"/>
        <w:numPr>
          <w:ilvl w:val="0"/>
          <w:numId w:val="7"/>
        </w:numPr>
        <w:spacing w:after="225" w:line="360" w:lineRule="auto"/>
        <w:rPr>
          <w:rFonts w:eastAsia="Arial"/>
          <w:color w:val="000000" w:themeColor="text1"/>
        </w:rPr>
      </w:pPr>
      <w:r w:rsidRPr="00742C01">
        <w:rPr>
          <w:rFonts w:eastAsia="Calibri"/>
          <w:color w:val="000000" w:themeColor="text1"/>
        </w:rPr>
        <w:t>Men Going Their Own Way (MGTOW) are a community which has distanced themselves from women by avoiding relationships and reducing contact with women</w:t>
      </w:r>
      <w:r w:rsidRPr="00742C01">
        <w:rPr>
          <w:rFonts w:eastAsia="Arial"/>
          <w:color w:val="000000" w:themeColor="text1"/>
        </w:rPr>
        <w:t xml:space="preserve"> to live self-empowered lives which prioritize their finances, hobbies, and careers (Wright, Trott, and Jones 2020, cited in Fowler, 2025, p. 3)</w:t>
      </w:r>
    </w:p>
    <w:p w14:paraId="775AA0C1" w14:textId="7479152A" w:rsidR="1ABABFF0" w:rsidRPr="00742C01" w:rsidRDefault="0FE825BA" w:rsidP="00455404">
      <w:pPr>
        <w:pStyle w:val="ListParagraph"/>
        <w:numPr>
          <w:ilvl w:val="0"/>
          <w:numId w:val="7"/>
        </w:numPr>
        <w:spacing w:after="225" w:line="360" w:lineRule="auto"/>
        <w:rPr>
          <w:rFonts w:eastAsia="Calibri"/>
          <w:color w:val="000000" w:themeColor="text1"/>
        </w:rPr>
      </w:pPr>
      <w:r w:rsidRPr="00742C01">
        <w:rPr>
          <w:rFonts w:eastAsia="Calibri"/>
          <w:color w:val="000000" w:themeColor="text1"/>
        </w:rPr>
        <w:t>Men’s Rights Activists</w:t>
      </w:r>
      <w:r w:rsidR="006E6AA7" w:rsidRPr="00742C01">
        <w:rPr>
          <w:rFonts w:eastAsia="Calibri"/>
          <w:color w:val="000000" w:themeColor="text1"/>
        </w:rPr>
        <w:t xml:space="preserve"> (MRA) </w:t>
      </w:r>
      <w:r w:rsidR="007936D8" w:rsidRPr="00742C01">
        <w:rPr>
          <w:rFonts w:eastAsia="Calibri"/>
          <w:color w:val="000000" w:themeColor="text1"/>
        </w:rPr>
        <w:t>are</w:t>
      </w:r>
      <w:r w:rsidR="006E6AA7" w:rsidRPr="00742C01">
        <w:rPr>
          <w:rFonts w:eastAsia="Calibri"/>
          <w:color w:val="000000" w:themeColor="text1"/>
        </w:rPr>
        <w:t xml:space="preserve"> a com</w:t>
      </w:r>
      <w:r w:rsidR="00BE63CC" w:rsidRPr="00742C01">
        <w:rPr>
          <w:rFonts w:eastAsia="Calibri"/>
          <w:color w:val="000000" w:themeColor="text1"/>
        </w:rPr>
        <w:t>munity within the manosphere</w:t>
      </w:r>
      <w:r w:rsidR="005815CC" w:rsidRPr="00742C01">
        <w:rPr>
          <w:rFonts w:eastAsia="Calibri"/>
          <w:color w:val="000000" w:themeColor="text1"/>
        </w:rPr>
        <w:t xml:space="preserve"> which</w:t>
      </w:r>
      <w:r w:rsidR="00E73D8C" w:rsidRPr="00742C01">
        <w:rPr>
          <w:rFonts w:eastAsia="Calibri"/>
          <w:color w:val="000000" w:themeColor="text1"/>
        </w:rPr>
        <w:t xml:space="preserve"> perceive there to be a </w:t>
      </w:r>
      <w:r w:rsidR="00BF1773" w:rsidRPr="00742C01">
        <w:rPr>
          <w:rFonts w:eastAsia="Calibri"/>
          <w:color w:val="000000" w:themeColor="text1"/>
        </w:rPr>
        <w:t>cultural double standard</w:t>
      </w:r>
      <w:r w:rsidR="005815CC" w:rsidRPr="00742C01">
        <w:rPr>
          <w:rFonts w:eastAsia="Calibri"/>
          <w:color w:val="000000" w:themeColor="text1"/>
        </w:rPr>
        <w:t xml:space="preserve"> in how men are treated compared to women</w:t>
      </w:r>
      <w:r w:rsidR="00E73D8C" w:rsidRPr="00742C01">
        <w:rPr>
          <w:rFonts w:eastAsia="Calibri"/>
          <w:color w:val="000000" w:themeColor="text1"/>
        </w:rPr>
        <w:t xml:space="preserve">, especially in </w:t>
      </w:r>
      <w:r w:rsidR="00594F7B" w:rsidRPr="00742C01">
        <w:rPr>
          <w:rFonts w:eastAsia="Calibri"/>
          <w:color w:val="000000" w:themeColor="text1"/>
        </w:rPr>
        <w:t>relation to</w:t>
      </w:r>
      <w:r w:rsidR="00E73D8C" w:rsidRPr="00742C01">
        <w:rPr>
          <w:rFonts w:eastAsia="Calibri"/>
          <w:color w:val="000000" w:themeColor="text1"/>
        </w:rPr>
        <w:t xml:space="preserve"> s</w:t>
      </w:r>
      <w:r w:rsidRPr="00742C01">
        <w:rPr>
          <w:rFonts w:eastAsia="Calibri"/>
          <w:color w:val="000000" w:themeColor="text1"/>
        </w:rPr>
        <w:t>uicide and mental health</w:t>
      </w:r>
      <w:r w:rsidR="00E73D8C" w:rsidRPr="00742C01">
        <w:rPr>
          <w:rFonts w:eastAsia="Calibri"/>
          <w:color w:val="000000" w:themeColor="text1"/>
        </w:rPr>
        <w:t>,</w:t>
      </w:r>
      <w:r w:rsidR="00594F7B" w:rsidRPr="00742C01">
        <w:rPr>
          <w:rFonts w:eastAsia="Calibri"/>
          <w:color w:val="000000" w:themeColor="text1"/>
        </w:rPr>
        <w:t xml:space="preserve"> the</w:t>
      </w:r>
      <w:r w:rsidR="00E73D8C" w:rsidRPr="00742C01">
        <w:rPr>
          <w:rFonts w:eastAsia="Calibri"/>
          <w:color w:val="000000" w:themeColor="text1"/>
        </w:rPr>
        <w:t xml:space="preserve"> </w:t>
      </w:r>
      <w:r w:rsidRPr="00742C01">
        <w:rPr>
          <w:rFonts w:eastAsia="Calibri"/>
          <w:color w:val="000000" w:themeColor="text1"/>
        </w:rPr>
        <w:t>justice system</w:t>
      </w:r>
      <w:r w:rsidR="00213EB3" w:rsidRPr="00742C01">
        <w:rPr>
          <w:rFonts w:eastAsia="Calibri"/>
          <w:color w:val="000000" w:themeColor="text1"/>
        </w:rPr>
        <w:t xml:space="preserve"> and e</w:t>
      </w:r>
      <w:r w:rsidRPr="00742C01">
        <w:rPr>
          <w:rFonts w:eastAsia="Calibri"/>
          <w:color w:val="000000" w:themeColor="text1"/>
        </w:rPr>
        <w:t xml:space="preserve">ducation (Ofcom, 2025, p.32). </w:t>
      </w:r>
    </w:p>
    <w:p w14:paraId="55F5F25C" w14:textId="2EB4E232" w:rsidR="001C043E" w:rsidRPr="00742C01" w:rsidRDefault="0FE825BA" w:rsidP="00455404">
      <w:pPr>
        <w:pStyle w:val="ListParagraph"/>
        <w:numPr>
          <w:ilvl w:val="0"/>
          <w:numId w:val="7"/>
        </w:numPr>
        <w:spacing w:after="225" w:line="360" w:lineRule="auto"/>
        <w:rPr>
          <w:rFonts w:eastAsia="Arial"/>
          <w:color w:val="000000" w:themeColor="text1"/>
        </w:rPr>
      </w:pPr>
      <w:r w:rsidRPr="00742C01">
        <w:rPr>
          <w:rFonts w:eastAsia="Arial"/>
          <w:color w:val="000000" w:themeColor="text1"/>
        </w:rPr>
        <w:t>‘</w:t>
      </w:r>
      <w:r w:rsidR="0092673E" w:rsidRPr="00742C01">
        <w:rPr>
          <w:rFonts w:eastAsia="Arial"/>
          <w:color w:val="000000" w:themeColor="text1"/>
        </w:rPr>
        <w:t>R</w:t>
      </w:r>
      <w:r w:rsidRPr="00742C01">
        <w:rPr>
          <w:rFonts w:eastAsia="Arial"/>
          <w:color w:val="000000" w:themeColor="text1"/>
        </w:rPr>
        <w:t xml:space="preserve">ed </w:t>
      </w:r>
      <w:r w:rsidRPr="00742C01">
        <w:rPr>
          <w:rFonts w:eastAsia="Calibri"/>
          <w:color w:val="000000" w:themeColor="text1"/>
        </w:rPr>
        <w:t>pill’</w:t>
      </w:r>
      <w:r w:rsidR="0041374F" w:rsidRPr="00742C01">
        <w:rPr>
          <w:rFonts w:eastAsia="Calibri"/>
          <w:color w:val="000000" w:themeColor="text1"/>
        </w:rPr>
        <w:t xml:space="preserve"> </w:t>
      </w:r>
      <w:r w:rsidR="0041374F" w:rsidRPr="00742C01">
        <w:rPr>
          <w:rFonts w:eastAsia="Arial"/>
          <w:color w:val="000000" w:themeColor="text1"/>
        </w:rPr>
        <w:t xml:space="preserve">(‘red </w:t>
      </w:r>
      <w:proofErr w:type="spellStart"/>
      <w:r w:rsidR="0041374F" w:rsidRPr="00742C01">
        <w:rPr>
          <w:rFonts w:eastAsia="Arial"/>
          <w:color w:val="000000" w:themeColor="text1"/>
        </w:rPr>
        <w:t>pillers’</w:t>
      </w:r>
      <w:proofErr w:type="spellEnd"/>
      <w:r w:rsidR="0041374F" w:rsidRPr="00742C01">
        <w:rPr>
          <w:rFonts w:eastAsia="Arial"/>
          <w:color w:val="000000" w:themeColor="text1"/>
        </w:rPr>
        <w:t>)</w:t>
      </w:r>
      <w:r w:rsidR="001C043E" w:rsidRPr="00742C01">
        <w:rPr>
          <w:rFonts w:eastAsia="Arial"/>
          <w:color w:val="000000" w:themeColor="text1"/>
        </w:rPr>
        <w:t xml:space="preserve">. </w:t>
      </w:r>
      <w:r w:rsidR="009F7947" w:rsidRPr="00742C01">
        <w:rPr>
          <w:rFonts w:eastAsia="Arial"/>
          <w:color w:val="000000" w:themeColor="text1"/>
        </w:rPr>
        <w:t>The key concept which unites</w:t>
      </w:r>
      <w:r w:rsidR="001C043E" w:rsidRPr="00742C01">
        <w:rPr>
          <w:rFonts w:eastAsia="Calibri"/>
          <w:color w:val="000000" w:themeColor="text1"/>
        </w:rPr>
        <w:t xml:space="preserve"> communities involved in the manosphere will describe themselves as having ‘taken the red pill’. This metaphor refers to the process of ’awakening’ to the ‘reality’ of gender relations in society between men and women, and not having this awakening means </w:t>
      </w:r>
      <w:r w:rsidR="001C043E" w:rsidRPr="00742C01">
        <w:rPr>
          <w:rFonts w:eastAsia="Arial"/>
          <w:color w:val="000000" w:themeColor="text1"/>
        </w:rPr>
        <w:t xml:space="preserve">people </w:t>
      </w:r>
      <w:r w:rsidR="001C043E" w:rsidRPr="00742C01">
        <w:rPr>
          <w:rFonts w:eastAsia="Calibri"/>
          <w:color w:val="000000" w:themeColor="text1"/>
        </w:rPr>
        <w:t>live in ignorance or denial of these gender relations (Ging, 2019; Ofcom, 2025, p. 20). It comes from</w:t>
      </w:r>
      <w:r w:rsidR="001C043E" w:rsidRPr="00742C01">
        <w:rPr>
          <w:rFonts w:eastAsia="Arial"/>
          <w:color w:val="000000" w:themeColor="text1"/>
        </w:rPr>
        <w:t xml:space="preserve"> the film </w:t>
      </w:r>
      <w:r w:rsidR="001C043E" w:rsidRPr="00742C01">
        <w:rPr>
          <w:rFonts w:eastAsia="Arial"/>
          <w:i/>
          <w:iCs/>
          <w:color w:val="000000" w:themeColor="text1"/>
        </w:rPr>
        <w:t>The Matrix</w:t>
      </w:r>
      <w:r w:rsidR="001C043E" w:rsidRPr="00742C01">
        <w:rPr>
          <w:rFonts w:eastAsia="Arial"/>
          <w:color w:val="000000" w:themeColor="text1"/>
        </w:rPr>
        <w:t xml:space="preserve">, in which </w:t>
      </w:r>
      <w:r w:rsidR="004F1CC0" w:rsidRPr="00742C01">
        <w:rPr>
          <w:rFonts w:eastAsia="Arial"/>
          <w:color w:val="000000" w:themeColor="text1"/>
        </w:rPr>
        <w:t>“</w:t>
      </w:r>
      <w:r w:rsidR="001C043E" w:rsidRPr="00742C01">
        <w:rPr>
          <w:rFonts w:eastAsia="Arial"/>
          <w:color w:val="000000" w:themeColor="text1"/>
        </w:rPr>
        <w:t>Neo is given the choice of taking one of the two pills. Taking the blue pill means switching off and living a life of delusion; taking the red pill means becoming enlightened to life’s ugly truths</w:t>
      </w:r>
      <w:r w:rsidR="004F1CC0" w:rsidRPr="00742C01">
        <w:rPr>
          <w:rFonts w:eastAsia="Arial"/>
          <w:color w:val="000000" w:themeColor="text1"/>
        </w:rPr>
        <w:t>”</w:t>
      </w:r>
      <w:r w:rsidR="009F7947" w:rsidRPr="00742C01">
        <w:rPr>
          <w:rFonts w:eastAsia="Arial"/>
          <w:color w:val="000000" w:themeColor="text1"/>
        </w:rPr>
        <w:t xml:space="preserve"> (Ging, 2019, p. 3). </w:t>
      </w:r>
    </w:p>
    <w:p w14:paraId="14B48FB4" w14:textId="052923BF" w:rsidR="1ABABFF0" w:rsidRPr="00742C01" w:rsidRDefault="0092673E" w:rsidP="00455404">
      <w:pPr>
        <w:pStyle w:val="ListParagraph"/>
        <w:numPr>
          <w:ilvl w:val="0"/>
          <w:numId w:val="7"/>
        </w:numPr>
        <w:spacing w:after="225" w:line="360" w:lineRule="auto"/>
        <w:rPr>
          <w:rFonts w:eastAsia="Arial"/>
          <w:color w:val="000000" w:themeColor="text1"/>
        </w:rPr>
      </w:pPr>
      <w:r w:rsidRPr="00742C01">
        <w:rPr>
          <w:rFonts w:eastAsia="Arial"/>
          <w:color w:val="000000" w:themeColor="text1"/>
        </w:rPr>
        <w:t>‘</w:t>
      </w:r>
      <w:r w:rsidR="0FE825BA" w:rsidRPr="00742C01">
        <w:rPr>
          <w:rFonts w:eastAsia="Arial"/>
          <w:color w:val="000000" w:themeColor="text1"/>
        </w:rPr>
        <w:t>Sigma</w:t>
      </w:r>
      <w:r w:rsidRPr="00742C01">
        <w:rPr>
          <w:rFonts w:eastAsia="Arial"/>
          <w:color w:val="000000" w:themeColor="text1"/>
        </w:rPr>
        <w:t>’</w:t>
      </w:r>
      <w:r w:rsidR="0FE825BA" w:rsidRPr="00742C01">
        <w:rPr>
          <w:rFonts w:eastAsia="Arial"/>
          <w:color w:val="000000" w:themeColor="text1"/>
        </w:rPr>
        <w:t xml:space="preserve"> male</w:t>
      </w:r>
      <w:r w:rsidRPr="00742C01">
        <w:rPr>
          <w:rFonts w:eastAsia="Arial"/>
          <w:color w:val="000000" w:themeColor="text1"/>
        </w:rPr>
        <w:t>s are</w:t>
      </w:r>
      <w:r w:rsidR="0FE825BA" w:rsidRPr="00742C01">
        <w:rPr>
          <w:rFonts w:eastAsia="Arial"/>
          <w:color w:val="000000" w:themeColor="text1"/>
        </w:rPr>
        <w:t xml:space="preserve"> “self-centred, ambitious, adaptable, and unconventional” (Tanner and Gillardin, 2025, p. 2)</w:t>
      </w:r>
      <w:r w:rsidRPr="00742C01">
        <w:rPr>
          <w:rFonts w:eastAsia="Arial"/>
          <w:color w:val="000000" w:themeColor="text1"/>
        </w:rPr>
        <w:t xml:space="preserve">. </w:t>
      </w:r>
    </w:p>
    <w:sectPr w:rsidR="1ABABFF0" w:rsidRPr="00742C01" w:rsidSect="00544F8A">
      <w:type w:val="continuous"/>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F2C03" w14:textId="77777777" w:rsidR="006C0A1A" w:rsidRDefault="006C0A1A">
      <w:pPr>
        <w:spacing w:after="0" w:line="240" w:lineRule="auto"/>
      </w:pPr>
      <w:r>
        <w:separator/>
      </w:r>
    </w:p>
  </w:endnote>
  <w:endnote w:type="continuationSeparator" w:id="0">
    <w:p w14:paraId="55A25DAA" w14:textId="77777777" w:rsidR="006C0A1A" w:rsidRDefault="006C0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Times">
    <w:altName w:val="Times New Roman"/>
    <w:panose1 w:val="020206030504050203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C806" w14:textId="1C048D69" w:rsidR="00383151" w:rsidRDefault="00383151" w:rsidP="007C0DDC">
    <w:pPr>
      <w:pStyle w:val="Footer"/>
      <w:jc w:val="center"/>
    </w:pPr>
  </w:p>
  <w:p w14:paraId="3FA588EF" w14:textId="5C55F62D" w:rsidR="1ABABFF0" w:rsidRDefault="1ABABFF0" w:rsidP="1ABABF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9774568"/>
      <w:docPartObj>
        <w:docPartGallery w:val="Page Numbers (Bottom of Page)"/>
        <w:docPartUnique/>
      </w:docPartObj>
    </w:sdtPr>
    <w:sdtEndPr>
      <w:rPr>
        <w:noProof/>
      </w:rPr>
    </w:sdtEndPr>
    <w:sdtContent>
      <w:p w14:paraId="7809472C" w14:textId="3F05AEDF" w:rsidR="008D7A73" w:rsidRDefault="008D7A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FFD18B" w14:textId="77777777" w:rsidR="008D7A73" w:rsidRDefault="008D7A73" w:rsidP="1ABABF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1B214" w14:textId="77777777" w:rsidR="006C0A1A" w:rsidRDefault="006C0A1A">
      <w:pPr>
        <w:spacing w:after="0" w:line="240" w:lineRule="auto"/>
      </w:pPr>
      <w:r>
        <w:separator/>
      </w:r>
    </w:p>
  </w:footnote>
  <w:footnote w:type="continuationSeparator" w:id="0">
    <w:p w14:paraId="620FC339" w14:textId="77777777" w:rsidR="006C0A1A" w:rsidRDefault="006C0A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1ABABFF0" w14:paraId="4596C025" w14:textId="77777777" w:rsidTr="1ABABFF0">
      <w:trPr>
        <w:trHeight w:val="300"/>
      </w:trPr>
      <w:tc>
        <w:tcPr>
          <w:tcW w:w="3005" w:type="dxa"/>
        </w:tcPr>
        <w:p w14:paraId="58C79C99" w14:textId="67E6B7F5" w:rsidR="1ABABFF0" w:rsidRDefault="1ABABFF0" w:rsidP="1ABABFF0">
          <w:pPr>
            <w:pStyle w:val="Header"/>
            <w:ind w:left="-115"/>
          </w:pPr>
        </w:p>
      </w:tc>
      <w:tc>
        <w:tcPr>
          <w:tcW w:w="3005" w:type="dxa"/>
        </w:tcPr>
        <w:p w14:paraId="27101A20" w14:textId="7B34D319" w:rsidR="1ABABFF0" w:rsidRDefault="1ABABFF0" w:rsidP="1ABABFF0">
          <w:pPr>
            <w:pStyle w:val="Header"/>
            <w:jc w:val="center"/>
          </w:pPr>
        </w:p>
      </w:tc>
      <w:tc>
        <w:tcPr>
          <w:tcW w:w="3005" w:type="dxa"/>
        </w:tcPr>
        <w:p w14:paraId="061AF9D9" w14:textId="4E807BB4" w:rsidR="1ABABFF0" w:rsidRDefault="1ABABFF0" w:rsidP="1ABABFF0">
          <w:pPr>
            <w:pStyle w:val="Header"/>
            <w:ind w:right="-115"/>
            <w:jc w:val="right"/>
          </w:pPr>
        </w:p>
      </w:tc>
    </w:tr>
  </w:tbl>
  <w:p w14:paraId="2AB15545" w14:textId="3ED8FDA4" w:rsidR="1ABABFF0" w:rsidRDefault="1ABABFF0" w:rsidP="1ABAB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27AD"/>
    <w:multiLevelType w:val="hybridMultilevel"/>
    <w:tmpl w:val="B04E1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C7D96"/>
    <w:multiLevelType w:val="hybridMultilevel"/>
    <w:tmpl w:val="FFFFFFFF"/>
    <w:lvl w:ilvl="0" w:tplc="572CA9D8">
      <w:start w:val="1"/>
      <w:numFmt w:val="bullet"/>
      <w:lvlText w:val="-"/>
      <w:lvlJc w:val="left"/>
      <w:pPr>
        <w:ind w:left="720" w:hanging="360"/>
      </w:pPr>
      <w:rPr>
        <w:rFonts w:ascii="Aptos" w:hAnsi="Aptos" w:hint="default"/>
      </w:rPr>
    </w:lvl>
    <w:lvl w:ilvl="1" w:tplc="6DDAD806">
      <w:start w:val="1"/>
      <w:numFmt w:val="bullet"/>
      <w:lvlText w:val="o"/>
      <w:lvlJc w:val="left"/>
      <w:pPr>
        <w:ind w:left="1440" w:hanging="360"/>
      </w:pPr>
      <w:rPr>
        <w:rFonts w:ascii="Courier New" w:hAnsi="Courier New" w:hint="default"/>
      </w:rPr>
    </w:lvl>
    <w:lvl w:ilvl="2" w:tplc="00D8A072">
      <w:start w:val="1"/>
      <w:numFmt w:val="bullet"/>
      <w:lvlText w:val=""/>
      <w:lvlJc w:val="left"/>
      <w:pPr>
        <w:ind w:left="2160" w:hanging="360"/>
      </w:pPr>
      <w:rPr>
        <w:rFonts w:ascii="Wingdings" w:hAnsi="Wingdings" w:hint="default"/>
      </w:rPr>
    </w:lvl>
    <w:lvl w:ilvl="3" w:tplc="CE74D7AA">
      <w:start w:val="1"/>
      <w:numFmt w:val="bullet"/>
      <w:lvlText w:val=""/>
      <w:lvlJc w:val="left"/>
      <w:pPr>
        <w:ind w:left="2880" w:hanging="360"/>
      </w:pPr>
      <w:rPr>
        <w:rFonts w:ascii="Symbol" w:hAnsi="Symbol" w:hint="default"/>
      </w:rPr>
    </w:lvl>
    <w:lvl w:ilvl="4" w:tplc="36C0D1D8">
      <w:start w:val="1"/>
      <w:numFmt w:val="bullet"/>
      <w:lvlText w:val="o"/>
      <w:lvlJc w:val="left"/>
      <w:pPr>
        <w:ind w:left="3600" w:hanging="360"/>
      </w:pPr>
      <w:rPr>
        <w:rFonts w:ascii="Courier New" w:hAnsi="Courier New" w:hint="default"/>
      </w:rPr>
    </w:lvl>
    <w:lvl w:ilvl="5" w:tplc="FCF02318">
      <w:start w:val="1"/>
      <w:numFmt w:val="bullet"/>
      <w:lvlText w:val=""/>
      <w:lvlJc w:val="left"/>
      <w:pPr>
        <w:ind w:left="4320" w:hanging="360"/>
      </w:pPr>
      <w:rPr>
        <w:rFonts w:ascii="Wingdings" w:hAnsi="Wingdings" w:hint="default"/>
      </w:rPr>
    </w:lvl>
    <w:lvl w:ilvl="6" w:tplc="A5B47FB8">
      <w:start w:val="1"/>
      <w:numFmt w:val="bullet"/>
      <w:lvlText w:val=""/>
      <w:lvlJc w:val="left"/>
      <w:pPr>
        <w:ind w:left="5040" w:hanging="360"/>
      </w:pPr>
      <w:rPr>
        <w:rFonts w:ascii="Symbol" w:hAnsi="Symbol" w:hint="default"/>
      </w:rPr>
    </w:lvl>
    <w:lvl w:ilvl="7" w:tplc="20666446">
      <w:start w:val="1"/>
      <w:numFmt w:val="bullet"/>
      <w:lvlText w:val="o"/>
      <w:lvlJc w:val="left"/>
      <w:pPr>
        <w:ind w:left="5760" w:hanging="360"/>
      </w:pPr>
      <w:rPr>
        <w:rFonts w:ascii="Courier New" w:hAnsi="Courier New" w:hint="default"/>
      </w:rPr>
    </w:lvl>
    <w:lvl w:ilvl="8" w:tplc="2C0294D2">
      <w:start w:val="1"/>
      <w:numFmt w:val="bullet"/>
      <w:lvlText w:val=""/>
      <w:lvlJc w:val="left"/>
      <w:pPr>
        <w:ind w:left="6480" w:hanging="360"/>
      </w:pPr>
      <w:rPr>
        <w:rFonts w:ascii="Wingdings" w:hAnsi="Wingdings" w:hint="default"/>
      </w:rPr>
    </w:lvl>
  </w:abstractNum>
  <w:abstractNum w:abstractNumId="2" w15:restartNumberingAfterBreak="0">
    <w:nsid w:val="0B765DD3"/>
    <w:multiLevelType w:val="multilevel"/>
    <w:tmpl w:val="9634BF9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0E3612"/>
    <w:multiLevelType w:val="multilevel"/>
    <w:tmpl w:val="2350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C95A4F"/>
    <w:multiLevelType w:val="hybridMultilevel"/>
    <w:tmpl w:val="8B3C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4DDBD"/>
    <w:multiLevelType w:val="hybridMultilevel"/>
    <w:tmpl w:val="FFFFFFFF"/>
    <w:lvl w:ilvl="0" w:tplc="C75E17A6">
      <w:start w:val="1"/>
      <w:numFmt w:val="bullet"/>
      <w:lvlText w:val="-"/>
      <w:lvlJc w:val="left"/>
      <w:pPr>
        <w:ind w:left="720" w:hanging="360"/>
      </w:pPr>
      <w:rPr>
        <w:rFonts w:ascii="Aptos" w:hAnsi="Aptos" w:hint="default"/>
      </w:rPr>
    </w:lvl>
    <w:lvl w:ilvl="1" w:tplc="BE323906">
      <w:start w:val="1"/>
      <w:numFmt w:val="bullet"/>
      <w:lvlText w:val="o"/>
      <w:lvlJc w:val="left"/>
      <w:pPr>
        <w:ind w:left="1440" w:hanging="360"/>
      </w:pPr>
      <w:rPr>
        <w:rFonts w:ascii="Courier New" w:hAnsi="Courier New" w:hint="default"/>
      </w:rPr>
    </w:lvl>
    <w:lvl w:ilvl="2" w:tplc="2402CEA8">
      <w:start w:val="1"/>
      <w:numFmt w:val="bullet"/>
      <w:lvlText w:val=""/>
      <w:lvlJc w:val="left"/>
      <w:pPr>
        <w:ind w:left="2160" w:hanging="360"/>
      </w:pPr>
      <w:rPr>
        <w:rFonts w:ascii="Wingdings" w:hAnsi="Wingdings" w:hint="default"/>
      </w:rPr>
    </w:lvl>
    <w:lvl w:ilvl="3" w:tplc="B90EBF74">
      <w:start w:val="1"/>
      <w:numFmt w:val="bullet"/>
      <w:lvlText w:val=""/>
      <w:lvlJc w:val="left"/>
      <w:pPr>
        <w:ind w:left="2880" w:hanging="360"/>
      </w:pPr>
      <w:rPr>
        <w:rFonts w:ascii="Symbol" w:hAnsi="Symbol" w:hint="default"/>
      </w:rPr>
    </w:lvl>
    <w:lvl w:ilvl="4" w:tplc="6B0AB70E">
      <w:start w:val="1"/>
      <w:numFmt w:val="bullet"/>
      <w:lvlText w:val="o"/>
      <w:lvlJc w:val="left"/>
      <w:pPr>
        <w:ind w:left="3600" w:hanging="360"/>
      </w:pPr>
      <w:rPr>
        <w:rFonts w:ascii="Courier New" w:hAnsi="Courier New" w:hint="default"/>
      </w:rPr>
    </w:lvl>
    <w:lvl w:ilvl="5" w:tplc="27FEA778">
      <w:start w:val="1"/>
      <w:numFmt w:val="bullet"/>
      <w:lvlText w:val=""/>
      <w:lvlJc w:val="left"/>
      <w:pPr>
        <w:ind w:left="4320" w:hanging="360"/>
      </w:pPr>
      <w:rPr>
        <w:rFonts w:ascii="Wingdings" w:hAnsi="Wingdings" w:hint="default"/>
      </w:rPr>
    </w:lvl>
    <w:lvl w:ilvl="6" w:tplc="4F6657D2">
      <w:start w:val="1"/>
      <w:numFmt w:val="bullet"/>
      <w:lvlText w:val=""/>
      <w:lvlJc w:val="left"/>
      <w:pPr>
        <w:ind w:left="5040" w:hanging="360"/>
      </w:pPr>
      <w:rPr>
        <w:rFonts w:ascii="Symbol" w:hAnsi="Symbol" w:hint="default"/>
      </w:rPr>
    </w:lvl>
    <w:lvl w:ilvl="7" w:tplc="75AEF7CE">
      <w:start w:val="1"/>
      <w:numFmt w:val="bullet"/>
      <w:lvlText w:val="o"/>
      <w:lvlJc w:val="left"/>
      <w:pPr>
        <w:ind w:left="5760" w:hanging="360"/>
      </w:pPr>
      <w:rPr>
        <w:rFonts w:ascii="Courier New" w:hAnsi="Courier New" w:hint="default"/>
      </w:rPr>
    </w:lvl>
    <w:lvl w:ilvl="8" w:tplc="469C628E">
      <w:start w:val="1"/>
      <w:numFmt w:val="bullet"/>
      <w:lvlText w:val=""/>
      <w:lvlJc w:val="left"/>
      <w:pPr>
        <w:ind w:left="6480" w:hanging="360"/>
      </w:pPr>
      <w:rPr>
        <w:rFonts w:ascii="Wingdings" w:hAnsi="Wingdings" w:hint="default"/>
      </w:rPr>
    </w:lvl>
  </w:abstractNum>
  <w:abstractNum w:abstractNumId="6" w15:restartNumberingAfterBreak="0">
    <w:nsid w:val="1D213671"/>
    <w:multiLevelType w:val="hybridMultilevel"/>
    <w:tmpl w:val="7C5E7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D5CA1"/>
    <w:multiLevelType w:val="multilevel"/>
    <w:tmpl w:val="B4EE7FB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E8CD78"/>
    <w:multiLevelType w:val="hybridMultilevel"/>
    <w:tmpl w:val="9D2C3278"/>
    <w:lvl w:ilvl="0" w:tplc="8B0484B8">
      <w:start w:val="1"/>
      <w:numFmt w:val="bullet"/>
      <w:lvlText w:val=""/>
      <w:lvlJc w:val="left"/>
      <w:pPr>
        <w:ind w:left="720" w:hanging="360"/>
      </w:pPr>
      <w:rPr>
        <w:rFonts w:ascii="Symbol" w:hAnsi="Symbol" w:hint="default"/>
      </w:rPr>
    </w:lvl>
    <w:lvl w:ilvl="1" w:tplc="1FF69E30">
      <w:start w:val="1"/>
      <w:numFmt w:val="bullet"/>
      <w:lvlText w:val="o"/>
      <w:lvlJc w:val="left"/>
      <w:pPr>
        <w:ind w:left="1440" w:hanging="360"/>
      </w:pPr>
      <w:rPr>
        <w:rFonts w:ascii="Courier New" w:hAnsi="Courier New" w:hint="default"/>
      </w:rPr>
    </w:lvl>
    <w:lvl w:ilvl="2" w:tplc="05EA31A0">
      <w:start w:val="1"/>
      <w:numFmt w:val="bullet"/>
      <w:lvlText w:val=""/>
      <w:lvlJc w:val="left"/>
      <w:pPr>
        <w:ind w:left="2160" w:hanging="360"/>
      </w:pPr>
      <w:rPr>
        <w:rFonts w:ascii="Wingdings" w:hAnsi="Wingdings" w:hint="default"/>
      </w:rPr>
    </w:lvl>
    <w:lvl w:ilvl="3" w:tplc="4A7285BC">
      <w:start w:val="1"/>
      <w:numFmt w:val="bullet"/>
      <w:lvlText w:val=""/>
      <w:lvlJc w:val="left"/>
      <w:pPr>
        <w:ind w:left="2880" w:hanging="360"/>
      </w:pPr>
      <w:rPr>
        <w:rFonts w:ascii="Symbol" w:hAnsi="Symbol" w:hint="default"/>
      </w:rPr>
    </w:lvl>
    <w:lvl w:ilvl="4" w:tplc="24F8B6D8">
      <w:start w:val="1"/>
      <w:numFmt w:val="bullet"/>
      <w:lvlText w:val="o"/>
      <w:lvlJc w:val="left"/>
      <w:pPr>
        <w:ind w:left="3600" w:hanging="360"/>
      </w:pPr>
      <w:rPr>
        <w:rFonts w:ascii="Courier New" w:hAnsi="Courier New" w:hint="default"/>
      </w:rPr>
    </w:lvl>
    <w:lvl w:ilvl="5" w:tplc="3492328E">
      <w:start w:val="1"/>
      <w:numFmt w:val="bullet"/>
      <w:lvlText w:val=""/>
      <w:lvlJc w:val="left"/>
      <w:pPr>
        <w:ind w:left="4320" w:hanging="360"/>
      </w:pPr>
      <w:rPr>
        <w:rFonts w:ascii="Wingdings" w:hAnsi="Wingdings" w:hint="default"/>
      </w:rPr>
    </w:lvl>
    <w:lvl w:ilvl="6" w:tplc="EEF6119E">
      <w:start w:val="1"/>
      <w:numFmt w:val="bullet"/>
      <w:lvlText w:val=""/>
      <w:lvlJc w:val="left"/>
      <w:pPr>
        <w:ind w:left="5040" w:hanging="360"/>
      </w:pPr>
      <w:rPr>
        <w:rFonts w:ascii="Symbol" w:hAnsi="Symbol" w:hint="default"/>
      </w:rPr>
    </w:lvl>
    <w:lvl w:ilvl="7" w:tplc="1D883F2A">
      <w:start w:val="1"/>
      <w:numFmt w:val="bullet"/>
      <w:lvlText w:val="o"/>
      <w:lvlJc w:val="left"/>
      <w:pPr>
        <w:ind w:left="5760" w:hanging="360"/>
      </w:pPr>
      <w:rPr>
        <w:rFonts w:ascii="Courier New" w:hAnsi="Courier New" w:hint="default"/>
      </w:rPr>
    </w:lvl>
    <w:lvl w:ilvl="8" w:tplc="87E0296A">
      <w:start w:val="1"/>
      <w:numFmt w:val="bullet"/>
      <w:lvlText w:val=""/>
      <w:lvlJc w:val="left"/>
      <w:pPr>
        <w:ind w:left="6480" w:hanging="360"/>
      </w:pPr>
      <w:rPr>
        <w:rFonts w:ascii="Wingdings" w:hAnsi="Wingdings" w:hint="default"/>
      </w:rPr>
    </w:lvl>
  </w:abstractNum>
  <w:abstractNum w:abstractNumId="9" w15:restartNumberingAfterBreak="0">
    <w:nsid w:val="367B5E1E"/>
    <w:multiLevelType w:val="hybridMultilevel"/>
    <w:tmpl w:val="FFFFFFFF"/>
    <w:lvl w:ilvl="0" w:tplc="229632B8">
      <w:start w:val="1"/>
      <w:numFmt w:val="bullet"/>
      <w:lvlText w:val=""/>
      <w:lvlJc w:val="left"/>
      <w:pPr>
        <w:ind w:left="720" w:hanging="360"/>
      </w:pPr>
      <w:rPr>
        <w:rFonts w:ascii="Symbol" w:hAnsi="Symbol" w:hint="default"/>
      </w:rPr>
    </w:lvl>
    <w:lvl w:ilvl="1" w:tplc="2B6C5B0E">
      <w:start w:val="1"/>
      <w:numFmt w:val="bullet"/>
      <w:lvlText w:val="o"/>
      <w:lvlJc w:val="left"/>
      <w:pPr>
        <w:ind w:left="1440" w:hanging="360"/>
      </w:pPr>
      <w:rPr>
        <w:rFonts w:ascii="Courier New" w:hAnsi="Courier New" w:hint="default"/>
      </w:rPr>
    </w:lvl>
    <w:lvl w:ilvl="2" w:tplc="89AC2820">
      <w:start w:val="1"/>
      <w:numFmt w:val="bullet"/>
      <w:lvlText w:val=""/>
      <w:lvlJc w:val="left"/>
      <w:pPr>
        <w:ind w:left="2160" w:hanging="360"/>
      </w:pPr>
      <w:rPr>
        <w:rFonts w:ascii="Wingdings" w:hAnsi="Wingdings" w:hint="default"/>
      </w:rPr>
    </w:lvl>
    <w:lvl w:ilvl="3" w:tplc="A01028FE">
      <w:start w:val="1"/>
      <w:numFmt w:val="bullet"/>
      <w:lvlText w:val=""/>
      <w:lvlJc w:val="left"/>
      <w:pPr>
        <w:ind w:left="2880" w:hanging="360"/>
      </w:pPr>
      <w:rPr>
        <w:rFonts w:ascii="Symbol" w:hAnsi="Symbol" w:hint="default"/>
      </w:rPr>
    </w:lvl>
    <w:lvl w:ilvl="4" w:tplc="DAE8B16C">
      <w:start w:val="1"/>
      <w:numFmt w:val="bullet"/>
      <w:lvlText w:val="o"/>
      <w:lvlJc w:val="left"/>
      <w:pPr>
        <w:ind w:left="3600" w:hanging="360"/>
      </w:pPr>
      <w:rPr>
        <w:rFonts w:ascii="Courier New" w:hAnsi="Courier New" w:hint="default"/>
      </w:rPr>
    </w:lvl>
    <w:lvl w:ilvl="5" w:tplc="254C351E">
      <w:start w:val="1"/>
      <w:numFmt w:val="bullet"/>
      <w:lvlText w:val=""/>
      <w:lvlJc w:val="left"/>
      <w:pPr>
        <w:ind w:left="4320" w:hanging="360"/>
      </w:pPr>
      <w:rPr>
        <w:rFonts w:ascii="Wingdings" w:hAnsi="Wingdings" w:hint="default"/>
      </w:rPr>
    </w:lvl>
    <w:lvl w:ilvl="6" w:tplc="26EECFE4">
      <w:start w:val="1"/>
      <w:numFmt w:val="bullet"/>
      <w:lvlText w:val=""/>
      <w:lvlJc w:val="left"/>
      <w:pPr>
        <w:ind w:left="5040" w:hanging="360"/>
      </w:pPr>
      <w:rPr>
        <w:rFonts w:ascii="Symbol" w:hAnsi="Symbol" w:hint="default"/>
      </w:rPr>
    </w:lvl>
    <w:lvl w:ilvl="7" w:tplc="16AE903A">
      <w:start w:val="1"/>
      <w:numFmt w:val="bullet"/>
      <w:lvlText w:val="o"/>
      <w:lvlJc w:val="left"/>
      <w:pPr>
        <w:ind w:left="5760" w:hanging="360"/>
      </w:pPr>
      <w:rPr>
        <w:rFonts w:ascii="Courier New" w:hAnsi="Courier New" w:hint="default"/>
      </w:rPr>
    </w:lvl>
    <w:lvl w:ilvl="8" w:tplc="9460A414">
      <w:start w:val="1"/>
      <w:numFmt w:val="bullet"/>
      <w:lvlText w:val=""/>
      <w:lvlJc w:val="left"/>
      <w:pPr>
        <w:ind w:left="6480" w:hanging="360"/>
      </w:pPr>
      <w:rPr>
        <w:rFonts w:ascii="Wingdings" w:hAnsi="Wingdings" w:hint="default"/>
      </w:rPr>
    </w:lvl>
  </w:abstractNum>
  <w:abstractNum w:abstractNumId="10" w15:restartNumberingAfterBreak="0">
    <w:nsid w:val="428E9BE2"/>
    <w:multiLevelType w:val="hybridMultilevel"/>
    <w:tmpl w:val="FFFFFFFF"/>
    <w:lvl w:ilvl="0" w:tplc="6F22E5C8">
      <w:start w:val="1"/>
      <w:numFmt w:val="bullet"/>
      <w:lvlText w:val="-"/>
      <w:lvlJc w:val="left"/>
      <w:pPr>
        <w:ind w:left="720" w:hanging="360"/>
      </w:pPr>
      <w:rPr>
        <w:rFonts w:ascii="Aptos" w:hAnsi="Aptos" w:hint="default"/>
      </w:rPr>
    </w:lvl>
    <w:lvl w:ilvl="1" w:tplc="BDF4E7B4">
      <w:start w:val="1"/>
      <w:numFmt w:val="bullet"/>
      <w:lvlText w:val="o"/>
      <w:lvlJc w:val="left"/>
      <w:pPr>
        <w:ind w:left="1440" w:hanging="360"/>
      </w:pPr>
      <w:rPr>
        <w:rFonts w:ascii="Courier New" w:hAnsi="Courier New" w:hint="default"/>
      </w:rPr>
    </w:lvl>
    <w:lvl w:ilvl="2" w:tplc="81366F4E">
      <w:start w:val="1"/>
      <w:numFmt w:val="bullet"/>
      <w:lvlText w:val=""/>
      <w:lvlJc w:val="left"/>
      <w:pPr>
        <w:ind w:left="2160" w:hanging="360"/>
      </w:pPr>
      <w:rPr>
        <w:rFonts w:ascii="Wingdings" w:hAnsi="Wingdings" w:hint="default"/>
      </w:rPr>
    </w:lvl>
    <w:lvl w:ilvl="3" w:tplc="6448AB6A">
      <w:start w:val="1"/>
      <w:numFmt w:val="bullet"/>
      <w:lvlText w:val=""/>
      <w:lvlJc w:val="left"/>
      <w:pPr>
        <w:ind w:left="2880" w:hanging="360"/>
      </w:pPr>
      <w:rPr>
        <w:rFonts w:ascii="Symbol" w:hAnsi="Symbol" w:hint="default"/>
      </w:rPr>
    </w:lvl>
    <w:lvl w:ilvl="4" w:tplc="7E1A0D88">
      <w:start w:val="1"/>
      <w:numFmt w:val="bullet"/>
      <w:lvlText w:val="o"/>
      <w:lvlJc w:val="left"/>
      <w:pPr>
        <w:ind w:left="3600" w:hanging="360"/>
      </w:pPr>
      <w:rPr>
        <w:rFonts w:ascii="Courier New" w:hAnsi="Courier New" w:hint="default"/>
      </w:rPr>
    </w:lvl>
    <w:lvl w:ilvl="5" w:tplc="6ACA5716">
      <w:start w:val="1"/>
      <w:numFmt w:val="bullet"/>
      <w:lvlText w:val=""/>
      <w:lvlJc w:val="left"/>
      <w:pPr>
        <w:ind w:left="4320" w:hanging="360"/>
      </w:pPr>
      <w:rPr>
        <w:rFonts w:ascii="Wingdings" w:hAnsi="Wingdings" w:hint="default"/>
      </w:rPr>
    </w:lvl>
    <w:lvl w:ilvl="6" w:tplc="417463A0">
      <w:start w:val="1"/>
      <w:numFmt w:val="bullet"/>
      <w:lvlText w:val=""/>
      <w:lvlJc w:val="left"/>
      <w:pPr>
        <w:ind w:left="5040" w:hanging="360"/>
      </w:pPr>
      <w:rPr>
        <w:rFonts w:ascii="Symbol" w:hAnsi="Symbol" w:hint="default"/>
      </w:rPr>
    </w:lvl>
    <w:lvl w:ilvl="7" w:tplc="5A062D18">
      <w:start w:val="1"/>
      <w:numFmt w:val="bullet"/>
      <w:lvlText w:val="o"/>
      <w:lvlJc w:val="left"/>
      <w:pPr>
        <w:ind w:left="5760" w:hanging="360"/>
      </w:pPr>
      <w:rPr>
        <w:rFonts w:ascii="Courier New" w:hAnsi="Courier New" w:hint="default"/>
      </w:rPr>
    </w:lvl>
    <w:lvl w:ilvl="8" w:tplc="5C406008">
      <w:start w:val="1"/>
      <w:numFmt w:val="bullet"/>
      <w:lvlText w:val=""/>
      <w:lvlJc w:val="left"/>
      <w:pPr>
        <w:ind w:left="6480" w:hanging="360"/>
      </w:pPr>
      <w:rPr>
        <w:rFonts w:ascii="Wingdings" w:hAnsi="Wingdings" w:hint="default"/>
      </w:rPr>
    </w:lvl>
  </w:abstractNum>
  <w:abstractNum w:abstractNumId="11" w15:restartNumberingAfterBreak="0">
    <w:nsid w:val="438877D8"/>
    <w:multiLevelType w:val="multilevel"/>
    <w:tmpl w:val="A4222E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F333F0"/>
    <w:multiLevelType w:val="hybridMultilevel"/>
    <w:tmpl w:val="8A6CFAE6"/>
    <w:lvl w:ilvl="0" w:tplc="0DBEAAC6">
      <w:start w:val="1"/>
      <w:numFmt w:val="bullet"/>
      <w:lvlText w:val=""/>
      <w:lvlJc w:val="left"/>
      <w:pPr>
        <w:ind w:left="720" w:hanging="360"/>
      </w:pPr>
      <w:rPr>
        <w:rFonts w:ascii="Symbol" w:hAnsi="Symbol" w:hint="default"/>
      </w:rPr>
    </w:lvl>
    <w:lvl w:ilvl="1" w:tplc="EBE8CEBE">
      <w:start w:val="1"/>
      <w:numFmt w:val="bullet"/>
      <w:lvlText w:val="o"/>
      <w:lvlJc w:val="left"/>
      <w:pPr>
        <w:ind w:left="1440" w:hanging="360"/>
      </w:pPr>
      <w:rPr>
        <w:rFonts w:ascii="Courier New" w:hAnsi="Courier New" w:hint="default"/>
      </w:rPr>
    </w:lvl>
    <w:lvl w:ilvl="2" w:tplc="F3A8F4EC">
      <w:start w:val="1"/>
      <w:numFmt w:val="bullet"/>
      <w:lvlText w:val=""/>
      <w:lvlJc w:val="left"/>
      <w:pPr>
        <w:ind w:left="2160" w:hanging="360"/>
      </w:pPr>
      <w:rPr>
        <w:rFonts w:ascii="Wingdings" w:hAnsi="Wingdings" w:hint="default"/>
      </w:rPr>
    </w:lvl>
    <w:lvl w:ilvl="3" w:tplc="C1D0EC6C">
      <w:start w:val="1"/>
      <w:numFmt w:val="bullet"/>
      <w:lvlText w:val=""/>
      <w:lvlJc w:val="left"/>
      <w:pPr>
        <w:ind w:left="2880" w:hanging="360"/>
      </w:pPr>
      <w:rPr>
        <w:rFonts w:ascii="Symbol" w:hAnsi="Symbol" w:hint="default"/>
      </w:rPr>
    </w:lvl>
    <w:lvl w:ilvl="4" w:tplc="88303292">
      <w:start w:val="1"/>
      <w:numFmt w:val="bullet"/>
      <w:lvlText w:val="o"/>
      <w:lvlJc w:val="left"/>
      <w:pPr>
        <w:ind w:left="3600" w:hanging="360"/>
      </w:pPr>
      <w:rPr>
        <w:rFonts w:ascii="Courier New" w:hAnsi="Courier New" w:hint="default"/>
      </w:rPr>
    </w:lvl>
    <w:lvl w:ilvl="5" w:tplc="7D28C786">
      <w:start w:val="1"/>
      <w:numFmt w:val="bullet"/>
      <w:lvlText w:val=""/>
      <w:lvlJc w:val="left"/>
      <w:pPr>
        <w:ind w:left="4320" w:hanging="360"/>
      </w:pPr>
      <w:rPr>
        <w:rFonts w:ascii="Wingdings" w:hAnsi="Wingdings" w:hint="default"/>
      </w:rPr>
    </w:lvl>
    <w:lvl w:ilvl="6" w:tplc="F1CA7C06">
      <w:start w:val="1"/>
      <w:numFmt w:val="bullet"/>
      <w:lvlText w:val=""/>
      <w:lvlJc w:val="left"/>
      <w:pPr>
        <w:ind w:left="5040" w:hanging="360"/>
      </w:pPr>
      <w:rPr>
        <w:rFonts w:ascii="Symbol" w:hAnsi="Symbol" w:hint="default"/>
      </w:rPr>
    </w:lvl>
    <w:lvl w:ilvl="7" w:tplc="8F38DE34">
      <w:start w:val="1"/>
      <w:numFmt w:val="bullet"/>
      <w:lvlText w:val="o"/>
      <w:lvlJc w:val="left"/>
      <w:pPr>
        <w:ind w:left="5760" w:hanging="360"/>
      </w:pPr>
      <w:rPr>
        <w:rFonts w:ascii="Courier New" w:hAnsi="Courier New" w:hint="default"/>
      </w:rPr>
    </w:lvl>
    <w:lvl w:ilvl="8" w:tplc="F9FAA8BE">
      <w:start w:val="1"/>
      <w:numFmt w:val="bullet"/>
      <w:lvlText w:val=""/>
      <w:lvlJc w:val="left"/>
      <w:pPr>
        <w:ind w:left="6480" w:hanging="360"/>
      </w:pPr>
      <w:rPr>
        <w:rFonts w:ascii="Wingdings" w:hAnsi="Wingdings" w:hint="default"/>
      </w:rPr>
    </w:lvl>
  </w:abstractNum>
  <w:abstractNum w:abstractNumId="13" w15:restartNumberingAfterBreak="0">
    <w:nsid w:val="56F94B9E"/>
    <w:multiLevelType w:val="multilevel"/>
    <w:tmpl w:val="EAEAB02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5A11037A"/>
    <w:multiLevelType w:val="hybridMultilevel"/>
    <w:tmpl w:val="1DBAD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4A2960"/>
    <w:multiLevelType w:val="hybridMultilevel"/>
    <w:tmpl w:val="19646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FA01F4"/>
    <w:multiLevelType w:val="hybridMultilevel"/>
    <w:tmpl w:val="99EEC23C"/>
    <w:lvl w:ilvl="0" w:tplc="55ECCF2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565006"/>
    <w:multiLevelType w:val="hybridMultilevel"/>
    <w:tmpl w:val="8C22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AC73DB"/>
    <w:multiLevelType w:val="hybridMultilevel"/>
    <w:tmpl w:val="FFFFFFFF"/>
    <w:lvl w:ilvl="0" w:tplc="CA4EAD48">
      <w:start w:val="1"/>
      <w:numFmt w:val="bullet"/>
      <w:lvlText w:val="-"/>
      <w:lvlJc w:val="left"/>
      <w:pPr>
        <w:ind w:left="720" w:hanging="360"/>
      </w:pPr>
      <w:rPr>
        <w:rFonts w:ascii="Aptos" w:hAnsi="Aptos" w:hint="default"/>
      </w:rPr>
    </w:lvl>
    <w:lvl w:ilvl="1" w:tplc="40AC93F4">
      <w:start w:val="1"/>
      <w:numFmt w:val="bullet"/>
      <w:lvlText w:val="o"/>
      <w:lvlJc w:val="left"/>
      <w:pPr>
        <w:ind w:left="1440" w:hanging="360"/>
      </w:pPr>
      <w:rPr>
        <w:rFonts w:ascii="Courier New" w:hAnsi="Courier New" w:hint="default"/>
      </w:rPr>
    </w:lvl>
    <w:lvl w:ilvl="2" w:tplc="8F5A0E3C">
      <w:start w:val="1"/>
      <w:numFmt w:val="bullet"/>
      <w:lvlText w:val=""/>
      <w:lvlJc w:val="left"/>
      <w:pPr>
        <w:ind w:left="2160" w:hanging="360"/>
      </w:pPr>
      <w:rPr>
        <w:rFonts w:ascii="Wingdings" w:hAnsi="Wingdings" w:hint="default"/>
      </w:rPr>
    </w:lvl>
    <w:lvl w:ilvl="3" w:tplc="9AAC49E8">
      <w:start w:val="1"/>
      <w:numFmt w:val="bullet"/>
      <w:lvlText w:val=""/>
      <w:lvlJc w:val="left"/>
      <w:pPr>
        <w:ind w:left="2880" w:hanging="360"/>
      </w:pPr>
      <w:rPr>
        <w:rFonts w:ascii="Symbol" w:hAnsi="Symbol" w:hint="default"/>
      </w:rPr>
    </w:lvl>
    <w:lvl w:ilvl="4" w:tplc="AEC8E25C">
      <w:start w:val="1"/>
      <w:numFmt w:val="bullet"/>
      <w:lvlText w:val="o"/>
      <w:lvlJc w:val="left"/>
      <w:pPr>
        <w:ind w:left="3600" w:hanging="360"/>
      </w:pPr>
      <w:rPr>
        <w:rFonts w:ascii="Courier New" w:hAnsi="Courier New" w:hint="default"/>
      </w:rPr>
    </w:lvl>
    <w:lvl w:ilvl="5" w:tplc="69FA1CD2">
      <w:start w:val="1"/>
      <w:numFmt w:val="bullet"/>
      <w:lvlText w:val=""/>
      <w:lvlJc w:val="left"/>
      <w:pPr>
        <w:ind w:left="4320" w:hanging="360"/>
      </w:pPr>
      <w:rPr>
        <w:rFonts w:ascii="Wingdings" w:hAnsi="Wingdings" w:hint="default"/>
      </w:rPr>
    </w:lvl>
    <w:lvl w:ilvl="6" w:tplc="EDDA71D0">
      <w:start w:val="1"/>
      <w:numFmt w:val="bullet"/>
      <w:lvlText w:val=""/>
      <w:lvlJc w:val="left"/>
      <w:pPr>
        <w:ind w:left="5040" w:hanging="360"/>
      </w:pPr>
      <w:rPr>
        <w:rFonts w:ascii="Symbol" w:hAnsi="Symbol" w:hint="default"/>
      </w:rPr>
    </w:lvl>
    <w:lvl w:ilvl="7" w:tplc="9C4CBD66">
      <w:start w:val="1"/>
      <w:numFmt w:val="bullet"/>
      <w:lvlText w:val="o"/>
      <w:lvlJc w:val="left"/>
      <w:pPr>
        <w:ind w:left="5760" w:hanging="360"/>
      </w:pPr>
      <w:rPr>
        <w:rFonts w:ascii="Courier New" w:hAnsi="Courier New" w:hint="default"/>
      </w:rPr>
    </w:lvl>
    <w:lvl w:ilvl="8" w:tplc="7EFAAF42">
      <w:start w:val="1"/>
      <w:numFmt w:val="bullet"/>
      <w:lvlText w:val=""/>
      <w:lvlJc w:val="left"/>
      <w:pPr>
        <w:ind w:left="6480" w:hanging="360"/>
      </w:pPr>
      <w:rPr>
        <w:rFonts w:ascii="Wingdings" w:hAnsi="Wingdings" w:hint="default"/>
      </w:rPr>
    </w:lvl>
  </w:abstractNum>
  <w:abstractNum w:abstractNumId="19" w15:restartNumberingAfterBreak="0">
    <w:nsid w:val="673A5EDF"/>
    <w:multiLevelType w:val="hybridMultilevel"/>
    <w:tmpl w:val="50EA8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D23135"/>
    <w:multiLevelType w:val="multilevel"/>
    <w:tmpl w:val="3DA08B80"/>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CC720C9"/>
    <w:multiLevelType w:val="multilevel"/>
    <w:tmpl w:val="6FDE1D0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456757006">
    <w:abstractNumId w:val="12"/>
  </w:num>
  <w:num w:numId="2" w16cid:durableId="951129370">
    <w:abstractNumId w:val="8"/>
  </w:num>
  <w:num w:numId="3" w16cid:durableId="845942911">
    <w:abstractNumId w:val="5"/>
  </w:num>
  <w:num w:numId="4" w16cid:durableId="750274687">
    <w:abstractNumId w:val="1"/>
  </w:num>
  <w:num w:numId="5" w16cid:durableId="1850020860">
    <w:abstractNumId w:val="10"/>
  </w:num>
  <w:num w:numId="6" w16cid:durableId="1397823740">
    <w:abstractNumId w:val="18"/>
  </w:num>
  <w:num w:numId="7" w16cid:durableId="1019619424">
    <w:abstractNumId w:val="9"/>
  </w:num>
  <w:num w:numId="8" w16cid:durableId="1722050698">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1982881190">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1783069743">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1144810917">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144274152">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1808233797">
    <w:abstractNumId w:val="6"/>
  </w:num>
  <w:num w:numId="14" w16cid:durableId="1219826249">
    <w:abstractNumId w:val="16"/>
  </w:num>
  <w:num w:numId="15" w16cid:durableId="206528031">
    <w:abstractNumId w:val="2"/>
  </w:num>
  <w:num w:numId="16" w16cid:durableId="866916872">
    <w:abstractNumId w:val="14"/>
  </w:num>
  <w:num w:numId="17" w16cid:durableId="1448545903">
    <w:abstractNumId w:val="17"/>
  </w:num>
  <w:num w:numId="18" w16cid:durableId="1217354209">
    <w:abstractNumId w:val="11"/>
  </w:num>
  <w:num w:numId="19" w16cid:durableId="323972273">
    <w:abstractNumId w:val="7"/>
  </w:num>
  <w:num w:numId="20" w16cid:durableId="1915702681">
    <w:abstractNumId w:val="20"/>
  </w:num>
  <w:num w:numId="21" w16cid:durableId="1624387709">
    <w:abstractNumId w:val="13"/>
  </w:num>
  <w:num w:numId="22" w16cid:durableId="1767269745">
    <w:abstractNumId w:val="21"/>
  </w:num>
  <w:num w:numId="23" w16cid:durableId="18618130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3954005">
    <w:abstractNumId w:val="15"/>
  </w:num>
  <w:num w:numId="25" w16cid:durableId="1380863087">
    <w:abstractNumId w:val="0"/>
  </w:num>
  <w:num w:numId="26" w16cid:durableId="1563173091">
    <w:abstractNumId w:val="19"/>
  </w:num>
  <w:num w:numId="27" w16cid:durableId="684863734">
    <w:abstractNumId w:val="4"/>
  </w:num>
  <w:num w:numId="28" w16cid:durableId="591547071">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linkStyl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7113B1"/>
    <w:rsid w:val="00000948"/>
    <w:rsid w:val="00000B9E"/>
    <w:rsid w:val="0000203A"/>
    <w:rsid w:val="00003AFD"/>
    <w:rsid w:val="00004FBD"/>
    <w:rsid w:val="00006AE4"/>
    <w:rsid w:val="0001382B"/>
    <w:rsid w:val="00013E0C"/>
    <w:rsid w:val="00020101"/>
    <w:rsid w:val="0002061D"/>
    <w:rsid w:val="00021A65"/>
    <w:rsid w:val="00022591"/>
    <w:rsid w:val="0002472A"/>
    <w:rsid w:val="000248B1"/>
    <w:rsid w:val="00024AFA"/>
    <w:rsid w:val="000256DA"/>
    <w:rsid w:val="00027FB6"/>
    <w:rsid w:val="00030AAC"/>
    <w:rsid w:val="00031E51"/>
    <w:rsid w:val="000322AE"/>
    <w:rsid w:val="00033990"/>
    <w:rsid w:val="000345D3"/>
    <w:rsid w:val="000374C1"/>
    <w:rsid w:val="0003EA1D"/>
    <w:rsid w:val="000403BE"/>
    <w:rsid w:val="00042DAC"/>
    <w:rsid w:val="00042EE5"/>
    <w:rsid w:val="000468E8"/>
    <w:rsid w:val="00047D27"/>
    <w:rsid w:val="00047E59"/>
    <w:rsid w:val="00051F75"/>
    <w:rsid w:val="000567B1"/>
    <w:rsid w:val="0005699F"/>
    <w:rsid w:val="00061014"/>
    <w:rsid w:val="00061CF4"/>
    <w:rsid w:val="00063676"/>
    <w:rsid w:val="00064BEA"/>
    <w:rsid w:val="0007016F"/>
    <w:rsid w:val="00074536"/>
    <w:rsid w:val="00074C3D"/>
    <w:rsid w:val="00077752"/>
    <w:rsid w:val="0008011D"/>
    <w:rsid w:val="000801DB"/>
    <w:rsid w:val="000807E4"/>
    <w:rsid w:val="000814F3"/>
    <w:rsid w:val="000818DA"/>
    <w:rsid w:val="000840A6"/>
    <w:rsid w:val="00086F64"/>
    <w:rsid w:val="0009240B"/>
    <w:rsid w:val="0009605B"/>
    <w:rsid w:val="00096FD1"/>
    <w:rsid w:val="000979B5"/>
    <w:rsid w:val="000A0A12"/>
    <w:rsid w:val="000A101E"/>
    <w:rsid w:val="000A180D"/>
    <w:rsid w:val="000A45EA"/>
    <w:rsid w:val="000A5B31"/>
    <w:rsid w:val="000A7E81"/>
    <w:rsid w:val="000B34FB"/>
    <w:rsid w:val="000B7ABC"/>
    <w:rsid w:val="000B7E3F"/>
    <w:rsid w:val="000C06B8"/>
    <w:rsid w:val="000C0959"/>
    <w:rsid w:val="000C199D"/>
    <w:rsid w:val="000C21E7"/>
    <w:rsid w:val="000C41FD"/>
    <w:rsid w:val="000C44BB"/>
    <w:rsid w:val="000D2022"/>
    <w:rsid w:val="000D206E"/>
    <w:rsid w:val="000D51CE"/>
    <w:rsid w:val="000E024A"/>
    <w:rsid w:val="000E2526"/>
    <w:rsid w:val="000E3AD0"/>
    <w:rsid w:val="000E45D6"/>
    <w:rsid w:val="000E5E72"/>
    <w:rsid w:val="000E61F1"/>
    <w:rsid w:val="000F2E6B"/>
    <w:rsid w:val="00102535"/>
    <w:rsid w:val="00104B41"/>
    <w:rsid w:val="00104F14"/>
    <w:rsid w:val="00110B5C"/>
    <w:rsid w:val="00110D25"/>
    <w:rsid w:val="00111D5C"/>
    <w:rsid w:val="001124CE"/>
    <w:rsid w:val="00114AE0"/>
    <w:rsid w:val="00116ABF"/>
    <w:rsid w:val="0011747A"/>
    <w:rsid w:val="00117B3E"/>
    <w:rsid w:val="00120094"/>
    <w:rsid w:val="00122BE4"/>
    <w:rsid w:val="001239BC"/>
    <w:rsid w:val="0012449D"/>
    <w:rsid w:val="00124935"/>
    <w:rsid w:val="00125720"/>
    <w:rsid w:val="001306FF"/>
    <w:rsid w:val="001339D2"/>
    <w:rsid w:val="001373DB"/>
    <w:rsid w:val="00137D9E"/>
    <w:rsid w:val="001417C4"/>
    <w:rsid w:val="00143210"/>
    <w:rsid w:val="00143F45"/>
    <w:rsid w:val="00146ECC"/>
    <w:rsid w:val="00150A16"/>
    <w:rsid w:val="0015338C"/>
    <w:rsid w:val="001538B0"/>
    <w:rsid w:val="00153D8C"/>
    <w:rsid w:val="00155CBA"/>
    <w:rsid w:val="00156E3A"/>
    <w:rsid w:val="00157141"/>
    <w:rsid w:val="00157F35"/>
    <w:rsid w:val="00161D23"/>
    <w:rsid w:val="001639FC"/>
    <w:rsid w:val="00164F70"/>
    <w:rsid w:val="0017179A"/>
    <w:rsid w:val="00175C9D"/>
    <w:rsid w:val="00182881"/>
    <w:rsid w:val="001828C9"/>
    <w:rsid w:val="00183558"/>
    <w:rsid w:val="00185374"/>
    <w:rsid w:val="00186EB5"/>
    <w:rsid w:val="00186FB3"/>
    <w:rsid w:val="00191459"/>
    <w:rsid w:val="00191C3B"/>
    <w:rsid w:val="001A14F5"/>
    <w:rsid w:val="001A23CD"/>
    <w:rsid w:val="001A4B3D"/>
    <w:rsid w:val="001A592A"/>
    <w:rsid w:val="001A5CEF"/>
    <w:rsid w:val="001B5B36"/>
    <w:rsid w:val="001B63A9"/>
    <w:rsid w:val="001C043E"/>
    <w:rsid w:val="001C19C6"/>
    <w:rsid w:val="001C3AAA"/>
    <w:rsid w:val="001C56B9"/>
    <w:rsid w:val="001C5755"/>
    <w:rsid w:val="001C602A"/>
    <w:rsid w:val="001C6259"/>
    <w:rsid w:val="001D5392"/>
    <w:rsid w:val="001D55F4"/>
    <w:rsid w:val="001E2165"/>
    <w:rsid w:val="001EE4A0"/>
    <w:rsid w:val="001F0FF7"/>
    <w:rsid w:val="001F12D1"/>
    <w:rsid w:val="001F68ED"/>
    <w:rsid w:val="001F7825"/>
    <w:rsid w:val="002026DF"/>
    <w:rsid w:val="00204568"/>
    <w:rsid w:val="002122F5"/>
    <w:rsid w:val="00213EB3"/>
    <w:rsid w:val="00214E9D"/>
    <w:rsid w:val="00214FA3"/>
    <w:rsid w:val="002152C9"/>
    <w:rsid w:val="00215425"/>
    <w:rsid w:val="0021610F"/>
    <w:rsid w:val="00223519"/>
    <w:rsid w:val="00224753"/>
    <w:rsid w:val="0022698F"/>
    <w:rsid w:val="002277E3"/>
    <w:rsid w:val="00227F83"/>
    <w:rsid w:val="002302E4"/>
    <w:rsid w:val="00232EB0"/>
    <w:rsid w:val="00237F9F"/>
    <w:rsid w:val="00243C99"/>
    <w:rsid w:val="0024432B"/>
    <w:rsid w:val="00244E2B"/>
    <w:rsid w:val="00245FC3"/>
    <w:rsid w:val="0024620A"/>
    <w:rsid w:val="00247AC9"/>
    <w:rsid w:val="00250883"/>
    <w:rsid w:val="002510D2"/>
    <w:rsid w:val="002566B8"/>
    <w:rsid w:val="0026420B"/>
    <w:rsid w:val="00264E42"/>
    <w:rsid w:val="0027007C"/>
    <w:rsid w:val="00271199"/>
    <w:rsid w:val="00271406"/>
    <w:rsid w:val="002718E4"/>
    <w:rsid w:val="002723EB"/>
    <w:rsid w:val="002748F7"/>
    <w:rsid w:val="002755D1"/>
    <w:rsid w:val="00275621"/>
    <w:rsid w:val="00277382"/>
    <w:rsid w:val="00277749"/>
    <w:rsid w:val="00280663"/>
    <w:rsid w:val="00280A56"/>
    <w:rsid w:val="00281E37"/>
    <w:rsid w:val="00281EA4"/>
    <w:rsid w:val="0028273F"/>
    <w:rsid w:val="002848C3"/>
    <w:rsid w:val="00286D14"/>
    <w:rsid w:val="0029007A"/>
    <w:rsid w:val="00291ABB"/>
    <w:rsid w:val="002923DB"/>
    <w:rsid w:val="00294E64"/>
    <w:rsid w:val="00296BC9"/>
    <w:rsid w:val="00296DDE"/>
    <w:rsid w:val="002A060D"/>
    <w:rsid w:val="002A25AD"/>
    <w:rsid w:val="002A3848"/>
    <w:rsid w:val="002A475B"/>
    <w:rsid w:val="002A541F"/>
    <w:rsid w:val="002A549B"/>
    <w:rsid w:val="002A56B7"/>
    <w:rsid w:val="002B1F50"/>
    <w:rsid w:val="002C2308"/>
    <w:rsid w:val="002C5220"/>
    <w:rsid w:val="002C669C"/>
    <w:rsid w:val="002D22B6"/>
    <w:rsid w:val="002D24EC"/>
    <w:rsid w:val="002D2964"/>
    <w:rsid w:val="002D33D6"/>
    <w:rsid w:val="002D49A1"/>
    <w:rsid w:val="002D50A0"/>
    <w:rsid w:val="002E4154"/>
    <w:rsid w:val="002E79CD"/>
    <w:rsid w:val="002F0E74"/>
    <w:rsid w:val="002F1164"/>
    <w:rsid w:val="002F1307"/>
    <w:rsid w:val="002F240A"/>
    <w:rsid w:val="002F6089"/>
    <w:rsid w:val="002F6F1E"/>
    <w:rsid w:val="00300350"/>
    <w:rsid w:val="003019A7"/>
    <w:rsid w:val="00301F91"/>
    <w:rsid w:val="00302751"/>
    <w:rsid w:val="00304E35"/>
    <w:rsid w:val="0030685C"/>
    <w:rsid w:val="0030779E"/>
    <w:rsid w:val="00312D4A"/>
    <w:rsid w:val="0031371F"/>
    <w:rsid w:val="003139A6"/>
    <w:rsid w:val="00321F1B"/>
    <w:rsid w:val="00322B6D"/>
    <w:rsid w:val="00323211"/>
    <w:rsid w:val="00323F20"/>
    <w:rsid w:val="00324091"/>
    <w:rsid w:val="00325A80"/>
    <w:rsid w:val="00326691"/>
    <w:rsid w:val="003313B4"/>
    <w:rsid w:val="00334774"/>
    <w:rsid w:val="00337BC2"/>
    <w:rsid w:val="00337C60"/>
    <w:rsid w:val="003451BA"/>
    <w:rsid w:val="00345B33"/>
    <w:rsid w:val="00350418"/>
    <w:rsid w:val="003515F4"/>
    <w:rsid w:val="00352E63"/>
    <w:rsid w:val="00356493"/>
    <w:rsid w:val="00356519"/>
    <w:rsid w:val="00361EA9"/>
    <w:rsid w:val="00365206"/>
    <w:rsid w:val="0036689F"/>
    <w:rsid w:val="003724CE"/>
    <w:rsid w:val="0037483E"/>
    <w:rsid w:val="003803DB"/>
    <w:rsid w:val="003827A3"/>
    <w:rsid w:val="00382A60"/>
    <w:rsid w:val="00383151"/>
    <w:rsid w:val="00383ED3"/>
    <w:rsid w:val="00384DBA"/>
    <w:rsid w:val="0038669E"/>
    <w:rsid w:val="00392DBA"/>
    <w:rsid w:val="003A00A7"/>
    <w:rsid w:val="003A0364"/>
    <w:rsid w:val="003A1E41"/>
    <w:rsid w:val="003A40AE"/>
    <w:rsid w:val="003A4935"/>
    <w:rsid w:val="003A65B6"/>
    <w:rsid w:val="003A6668"/>
    <w:rsid w:val="003A7689"/>
    <w:rsid w:val="003A7993"/>
    <w:rsid w:val="003B60E5"/>
    <w:rsid w:val="003C10FB"/>
    <w:rsid w:val="003C122D"/>
    <w:rsid w:val="003C17E8"/>
    <w:rsid w:val="003C2DED"/>
    <w:rsid w:val="003C3821"/>
    <w:rsid w:val="003C3C73"/>
    <w:rsid w:val="003C4B6C"/>
    <w:rsid w:val="003C500A"/>
    <w:rsid w:val="003D454E"/>
    <w:rsid w:val="003D5D28"/>
    <w:rsid w:val="003D6FB6"/>
    <w:rsid w:val="003E1B05"/>
    <w:rsid w:val="003E42C4"/>
    <w:rsid w:val="003F02F9"/>
    <w:rsid w:val="003F0357"/>
    <w:rsid w:val="003F20A8"/>
    <w:rsid w:val="003F22C9"/>
    <w:rsid w:val="003F55BA"/>
    <w:rsid w:val="004037FF"/>
    <w:rsid w:val="00405234"/>
    <w:rsid w:val="00410C53"/>
    <w:rsid w:val="0041374F"/>
    <w:rsid w:val="00420362"/>
    <w:rsid w:val="00421995"/>
    <w:rsid w:val="00424CCA"/>
    <w:rsid w:val="00430BD0"/>
    <w:rsid w:val="00430C14"/>
    <w:rsid w:val="004310C4"/>
    <w:rsid w:val="00431C5F"/>
    <w:rsid w:val="00434688"/>
    <w:rsid w:val="0043522F"/>
    <w:rsid w:val="00435596"/>
    <w:rsid w:val="0043640E"/>
    <w:rsid w:val="00436414"/>
    <w:rsid w:val="00436931"/>
    <w:rsid w:val="00440CFD"/>
    <w:rsid w:val="00450013"/>
    <w:rsid w:val="004500BF"/>
    <w:rsid w:val="0045337E"/>
    <w:rsid w:val="004553BF"/>
    <w:rsid w:val="00455404"/>
    <w:rsid w:val="004602FC"/>
    <w:rsid w:val="00464860"/>
    <w:rsid w:val="00465196"/>
    <w:rsid w:val="00467A1C"/>
    <w:rsid w:val="00470742"/>
    <w:rsid w:val="00471BF8"/>
    <w:rsid w:val="00472F7E"/>
    <w:rsid w:val="00473D65"/>
    <w:rsid w:val="004749C8"/>
    <w:rsid w:val="0048351A"/>
    <w:rsid w:val="00485667"/>
    <w:rsid w:val="00486389"/>
    <w:rsid w:val="00490D89"/>
    <w:rsid w:val="004958C5"/>
    <w:rsid w:val="0049601D"/>
    <w:rsid w:val="00496095"/>
    <w:rsid w:val="004B4DC0"/>
    <w:rsid w:val="004B589F"/>
    <w:rsid w:val="004B7160"/>
    <w:rsid w:val="004B71ED"/>
    <w:rsid w:val="004C2BA7"/>
    <w:rsid w:val="004C2FEE"/>
    <w:rsid w:val="004C5CB6"/>
    <w:rsid w:val="004C6580"/>
    <w:rsid w:val="004D0DC4"/>
    <w:rsid w:val="004D29FC"/>
    <w:rsid w:val="004D3C7B"/>
    <w:rsid w:val="004D486C"/>
    <w:rsid w:val="004E3D85"/>
    <w:rsid w:val="004E409D"/>
    <w:rsid w:val="004E5E97"/>
    <w:rsid w:val="004F039F"/>
    <w:rsid w:val="004F08E2"/>
    <w:rsid w:val="004F1CC0"/>
    <w:rsid w:val="004F2582"/>
    <w:rsid w:val="004F3329"/>
    <w:rsid w:val="004F4672"/>
    <w:rsid w:val="004F6999"/>
    <w:rsid w:val="004F7EC5"/>
    <w:rsid w:val="005025A4"/>
    <w:rsid w:val="005043E0"/>
    <w:rsid w:val="00510738"/>
    <w:rsid w:val="005107CA"/>
    <w:rsid w:val="00512677"/>
    <w:rsid w:val="0051297D"/>
    <w:rsid w:val="00514AAE"/>
    <w:rsid w:val="00516ABE"/>
    <w:rsid w:val="0052043B"/>
    <w:rsid w:val="00523F46"/>
    <w:rsid w:val="005250AB"/>
    <w:rsid w:val="0052640F"/>
    <w:rsid w:val="005316AB"/>
    <w:rsid w:val="005322D4"/>
    <w:rsid w:val="005333FD"/>
    <w:rsid w:val="005443DB"/>
    <w:rsid w:val="0054448E"/>
    <w:rsid w:val="00544F8A"/>
    <w:rsid w:val="0054798C"/>
    <w:rsid w:val="005530CB"/>
    <w:rsid w:val="005540A0"/>
    <w:rsid w:val="00554394"/>
    <w:rsid w:val="00554F51"/>
    <w:rsid w:val="005575DC"/>
    <w:rsid w:val="00563364"/>
    <w:rsid w:val="00567F14"/>
    <w:rsid w:val="00570922"/>
    <w:rsid w:val="00572415"/>
    <w:rsid w:val="0057559F"/>
    <w:rsid w:val="00580534"/>
    <w:rsid w:val="00581390"/>
    <w:rsid w:val="005815CC"/>
    <w:rsid w:val="005853BE"/>
    <w:rsid w:val="005859BE"/>
    <w:rsid w:val="00585ACF"/>
    <w:rsid w:val="00587833"/>
    <w:rsid w:val="00590407"/>
    <w:rsid w:val="00590659"/>
    <w:rsid w:val="00592E8D"/>
    <w:rsid w:val="00594F7B"/>
    <w:rsid w:val="005958D3"/>
    <w:rsid w:val="005978A7"/>
    <w:rsid w:val="00597C85"/>
    <w:rsid w:val="005A058F"/>
    <w:rsid w:val="005A08B1"/>
    <w:rsid w:val="005A0EF5"/>
    <w:rsid w:val="005A120B"/>
    <w:rsid w:val="005A19E5"/>
    <w:rsid w:val="005A312A"/>
    <w:rsid w:val="005A5B50"/>
    <w:rsid w:val="005A610A"/>
    <w:rsid w:val="005A68AE"/>
    <w:rsid w:val="005B2006"/>
    <w:rsid w:val="005B2E86"/>
    <w:rsid w:val="005C32DB"/>
    <w:rsid w:val="005C37C7"/>
    <w:rsid w:val="005C3CDA"/>
    <w:rsid w:val="005C5824"/>
    <w:rsid w:val="005C67FD"/>
    <w:rsid w:val="005C7E72"/>
    <w:rsid w:val="005D08F4"/>
    <w:rsid w:val="005D0B5B"/>
    <w:rsid w:val="005D22E8"/>
    <w:rsid w:val="005D2EA3"/>
    <w:rsid w:val="005D4E3E"/>
    <w:rsid w:val="005D532B"/>
    <w:rsid w:val="005D6648"/>
    <w:rsid w:val="005E18CB"/>
    <w:rsid w:val="005E38CF"/>
    <w:rsid w:val="005E4ADF"/>
    <w:rsid w:val="005F4F35"/>
    <w:rsid w:val="005F537E"/>
    <w:rsid w:val="005F5A2A"/>
    <w:rsid w:val="00600D7C"/>
    <w:rsid w:val="00601807"/>
    <w:rsid w:val="0060260F"/>
    <w:rsid w:val="00605503"/>
    <w:rsid w:val="00611684"/>
    <w:rsid w:val="006148DD"/>
    <w:rsid w:val="00615B3E"/>
    <w:rsid w:val="00620F28"/>
    <w:rsid w:val="0062328D"/>
    <w:rsid w:val="00624EE7"/>
    <w:rsid w:val="006269A0"/>
    <w:rsid w:val="006309E6"/>
    <w:rsid w:val="00631E4E"/>
    <w:rsid w:val="00631E68"/>
    <w:rsid w:val="006441A9"/>
    <w:rsid w:val="00646827"/>
    <w:rsid w:val="0065023A"/>
    <w:rsid w:val="0065249A"/>
    <w:rsid w:val="00653676"/>
    <w:rsid w:val="0065541A"/>
    <w:rsid w:val="00657845"/>
    <w:rsid w:val="00664DEA"/>
    <w:rsid w:val="006766C9"/>
    <w:rsid w:val="006858FF"/>
    <w:rsid w:val="006876C1"/>
    <w:rsid w:val="00691BA2"/>
    <w:rsid w:val="00691E2C"/>
    <w:rsid w:val="00696159"/>
    <w:rsid w:val="006A0785"/>
    <w:rsid w:val="006A1287"/>
    <w:rsid w:val="006A1300"/>
    <w:rsid w:val="006A48A5"/>
    <w:rsid w:val="006A5E07"/>
    <w:rsid w:val="006C0A1A"/>
    <w:rsid w:val="006C6C3F"/>
    <w:rsid w:val="006C7307"/>
    <w:rsid w:val="006D085F"/>
    <w:rsid w:val="006D2C51"/>
    <w:rsid w:val="006D3179"/>
    <w:rsid w:val="006D41EA"/>
    <w:rsid w:val="006D4A94"/>
    <w:rsid w:val="006D7AFB"/>
    <w:rsid w:val="006D7DDF"/>
    <w:rsid w:val="006E24BB"/>
    <w:rsid w:val="006E3D48"/>
    <w:rsid w:val="006E529D"/>
    <w:rsid w:val="006E5ED0"/>
    <w:rsid w:val="006E6AA7"/>
    <w:rsid w:val="006E791C"/>
    <w:rsid w:val="006F58F4"/>
    <w:rsid w:val="0070155B"/>
    <w:rsid w:val="00714349"/>
    <w:rsid w:val="0071709D"/>
    <w:rsid w:val="007170F4"/>
    <w:rsid w:val="00725D23"/>
    <w:rsid w:val="00733BCC"/>
    <w:rsid w:val="0073537F"/>
    <w:rsid w:val="00735DA4"/>
    <w:rsid w:val="00735E49"/>
    <w:rsid w:val="007378CB"/>
    <w:rsid w:val="00737BC9"/>
    <w:rsid w:val="00737BFB"/>
    <w:rsid w:val="00740F48"/>
    <w:rsid w:val="00742C01"/>
    <w:rsid w:val="00743CC0"/>
    <w:rsid w:val="00743F3B"/>
    <w:rsid w:val="007446B4"/>
    <w:rsid w:val="007451B7"/>
    <w:rsid w:val="0074572F"/>
    <w:rsid w:val="007500C3"/>
    <w:rsid w:val="00756492"/>
    <w:rsid w:val="00757185"/>
    <w:rsid w:val="00757B9E"/>
    <w:rsid w:val="00763F96"/>
    <w:rsid w:val="00764B90"/>
    <w:rsid w:val="00766FDF"/>
    <w:rsid w:val="00771077"/>
    <w:rsid w:val="00772AF0"/>
    <w:rsid w:val="007756D8"/>
    <w:rsid w:val="0077660F"/>
    <w:rsid w:val="00777429"/>
    <w:rsid w:val="0078362A"/>
    <w:rsid w:val="00785666"/>
    <w:rsid w:val="0079084E"/>
    <w:rsid w:val="00790B3B"/>
    <w:rsid w:val="0079157D"/>
    <w:rsid w:val="007936D8"/>
    <w:rsid w:val="00794373"/>
    <w:rsid w:val="007955DC"/>
    <w:rsid w:val="00795720"/>
    <w:rsid w:val="00797EB5"/>
    <w:rsid w:val="00797F28"/>
    <w:rsid w:val="007A0CE2"/>
    <w:rsid w:val="007A15B6"/>
    <w:rsid w:val="007A18BD"/>
    <w:rsid w:val="007A1C5E"/>
    <w:rsid w:val="007A2246"/>
    <w:rsid w:val="007A272C"/>
    <w:rsid w:val="007B10AC"/>
    <w:rsid w:val="007B137A"/>
    <w:rsid w:val="007B719F"/>
    <w:rsid w:val="007B7773"/>
    <w:rsid w:val="007C0DDC"/>
    <w:rsid w:val="007C2BFA"/>
    <w:rsid w:val="007C2CF4"/>
    <w:rsid w:val="007C67A1"/>
    <w:rsid w:val="007C6C90"/>
    <w:rsid w:val="007D039C"/>
    <w:rsid w:val="007D12C8"/>
    <w:rsid w:val="007D3C36"/>
    <w:rsid w:val="007D6BBD"/>
    <w:rsid w:val="007D7B96"/>
    <w:rsid w:val="007E3AA0"/>
    <w:rsid w:val="007F11EE"/>
    <w:rsid w:val="007F2EA2"/>
    <w:rsid w:val="007F33E4"/>
    <w:rsid w:val="007F371F"/>
    <w:rsid w:val="007F3BF8"/>
    <w:rsid w:val="007F71FF"/>
    <w:rsid w:val="00800F86"/>
    <w:rsid w:val="00801B75"/>
    <w:rsid w:val="00802659"/>
    <w:rsid w:val="00810C69"/>
    <w:rsid w:val="008129DD"/>
    <w:rsid w:val="0081322F"/>
    <w:rsid w:val="00815563"/>
    <w:rsid w:val="0082170F"/>
    <w:rsid w:val="008221C6"/>
    <w:rsid w:val="008257E4"/>
    <w:rsid w:val="00826581"/>
    <w:rsid w:val="008269DE"/>
    <w:rsid w:val="00830E32"/>
    <w:rsid w:val="008320DF"/>
    <w:rsid w:val="00832D82"/>
    <w:rsid w:val="008337BC"/>
    <w:rsid w:val="00840DA9"/>
    <w:rsid w:val="008445BD"/>
    <w:rsid w:val="00845862"/>
    <w:rsid w:val="00845BEC"/>
    <w:rsid w:val="00847ABE"/>
    <w:rsid w:val="00853546"/>
    <w:rsid w:val="00853690"/>
    <w:rsid w:val="00856FE6"/>
    <w:rsid w:val="008601BB"/>
    <w:rsid w:val="008602B1"/>
    <w:rsid w:val="00861836"/>
    <w:rsid w:val="0086365C"/>
    <w:rsid w:val="008643CA"/>
    <w:rsid w:val="008662F1"/>
    <w:rsid w:val="00867CBD"/>
    <w:rsid w:val="008714D4"/>
    <w:rsid w:val="0088006D"/>
    <w:rsid w:val="00880FFC"/>
    <w:rsid w:val="008826AA"/>
    <w:rsid w:val="008829F1"/>
    <w:rsid w:val="00884CC0"/>
    <w:rsid w:val="00884DA3"/>
    <w:rsid w:val="00884FF1"/>
    <w:rsid w:val="00885B14"/>
    <w:rsid w:val="00885EDC"/>
    <w:rsid w:val="00890547"/>
    <w:rsid w:val="008942E1"/>
    <w:rsid w:val="00894A64"/>
    <w:rsid w:val="008954CE"/>
    <w:rsid w:val="00896AC4"/>
    <w:rsid w:val="00897265"/>
    <w:rsid w:val="00897576"/>
    <w:rsid w:val="008A0040"/>
    <w:rsid w:val="008A10C7"/>
    <w:rsid w:val="008A24F9"/>
    <w:rsid w:val="008A25FD"/>
    <w:rsid w:val="008A3C2A"/>
    <w:rsid w:val="008A7A89"/>
    <w:rsid w:val="008B1455"/>
    <w:rsid w:val="008B2C12"/>
    <w:rsid w:val="008B7944"/>
    <w:rsid w:val="008C6352"/>
    <w:rsid w:val="008C6875"/>
    <w:rsid w:val="008D4209"/>
    <w:rsid w:val="008D4345"/>
    <w:rsid w:val="008D6E83"/>
    <w:rsid w:val="008D7A73"/>
    <w:rsid w:val="008D7D18"/>
    <w:rsid w:val="008E2BF6"/>
    <w:rsid w:val="008E33A2"/>
    <w:rsid w:val="008E6245"/>
    <w:rsid w:val="008E63B4"/>
    <w:rsid w:val="008E6769"/>
    <w:rsid w:val="008F110B"/>
    <w:rsid w:val="008F169B"/>
    <w:rsid w:val="008F3C03"/>
    <w:rsid w:val="008F3E98"/>
    <w:rsid w:val="008F620F"/>
    <w:rsid w:val="008F7BCC"/>
    <w:rsid w:val="00900896"/>
    <w:rsid w:val="00901173"/>
    <w:rsid w:val="00901E81"/>
    <w:rsid w:val="00903AAB"/>
    <w:rsid w:val="0090409A"/>
    <w:rsid w:val="00906AB4"/>
    <w:rsid w:val="0091036B"/>
    <w:rsid w:val="00911EC5"/>
    <w:rsid w:val="00912CDE"/>
    <w:rsid w:val="0091384A"/>
    <w:rsid w:val="00914114"/>
    <w:rsid w:val="00914BDB"/>
    <w:rsid w:val="00915370"/>
    <w:rsid w:val="00915847"/>
    <w:rsid w:val="00915FE5"/>
    <w:rsid w:val="00916182"/>
    <w:rsid w:val="00917ED3"/>
    <w:rsid w:val="00925102"/>
    <w:rsid w:val="0092673E"/>
    <w:rsid w:val="009268BC"/>
    <w:rsid w:val="0093729D"/>
    <w:rsid w:val="00941876"/>
    <w:rsid w:val="00942868"/>
    <w:rsid w:val="0095015D"/>
    <w:rsid w:val="00951D55"/>
    <w:rsid w:val="009520DE"/>
    <w:rsid w:val="00952364"/>
    <w:rsid w:val="00954B7D"/>
    <w:rsid w:val="00955987"/>
    <w:rsid w:val="009604F8"/>
    <w:rsid w:val="00960669"/>
    <w:rsid w:val="00961CDA"/>
    <w:rsid w:val="009629A2"/>
    <w:rsid w:val="009632EA"/>
    <w:rsid w:val="00963D70"/>
    <w:rsid w:val="00966BF2"/>
    <w:rsid w:val="00966F3B"/>
    <w:rsid w:val="0096720F"/>
    <w:rsid w:val="00967972"/>
    <w:rsid w:val="00972262"/>
    <w:rsid w:val="00972B4D"/>
    <w:rsid w:val="00977CC0"/>
    <w:rsid w:val="00980020"/>
    <w:rsid w:val="00980333"/>
    <w:rsid w:val="009817B0"/>
    <w:rsid w:val="00982B7C"/>
    <w:rsid w:val="00995C80"/>
    <w:rsid w:val="00997CB4"/>
    <w:rsid w:val="009A2B81"/>
    <w:rsid w:val="009A36C7"/>
    <w:rsid w:val="009A4466"/>
    <w:rsid w:val="009B31B6"/>
    <w:rsid w:val="009B4952"/>
    <w:rsid w:val="009B50A5"/>
    <w:rsid w:val="009B6C3D"/>
    <w:rsid w:val="009B727A"/>
    <w:rsid w:val="009C051E"/>
    <w:rsid w:val="009C1D0B"/>
    <w:rsid w:val="009C2CB3"/>
    <w:rsid w:val="009C33FB"/>
    <w:rsid w:val="009C5F07"/>
    <w:rsid w:val="009D42B2"/>
    <w:rsid w:val="009D50F2"/>
    <w:rsid w:val="009D616F"/>
    <w:rsid w:val="009D63B3"/>
    <w:rsid w:val="009E0EE9"/>
    <w:rsid w:val="009E4613"/>
    <w:rsid w:val="009E4A2A"/>
    <w:rsid w:val="009E71D8"/>
    <w:rsid w:val="009E77D6"/>
    <w:rsid w:val="009F001E"/>
    <w:rsid w:val="009F06EA"/>
    <w:rsid w:val="009F13A7"/>
    <w:rsid w:val="009F30A6"/>
    <w:rsid w:val="009F36E5"/>
    <w:rsid w:val="009F3923"/>
    <w:rsid w:val="009F3F5A"/>
    <w:rsid w:val="009F6264"/>
    <w:rsid w:val="009F6277"/>
    <w:rsid w:val="009F6FB0"/>
    <w:rsid w:val="009F714D"/>
    <w:rsid w:val="009F77C8"/>
    <w:rsid w:val="009F7947"/>
    <w:rsid w:val="00A00C7B"/>
    <w:rsid w:val="00A01E04"/>
    <w:rsid w:val="00A02FAF"/>
    <w:rsid w:val="00A033E7"/>
    <w:rsid w:val="00A049D5"/>
    <w:rsid w:val="00A05664"/>
    <w:rsid w:val="00A071E8"/>
    <w:rsid w:val="00A1240E"/>
    <w:rsid w:val="00A1281E"/>
    <w:rsid w:val="00A1392F"/>
    <w:rsid w:val="00A14B4C"/>
    <w:rsid w:val="00A16628"/>
    <w:rsid w:val="00A2532D"/>
    <w:rsid w:val="00A25750"/>
    <w:rsid w:val="00A32BC6"/>
    <w:rsid w:val="00A42A83"/>
    <w:rsid w:val="00A456E8"/>
    <w:rsid w:val="00A4599E"/>
    <w:rsid w:val="00A50BAC"/>
    <w:rsid w:val="00A532BB"/>
    <w:rsid w:val="00A55D89"/>
    <w:rsid w:val="00A55F13"/>
    <w:rsid w:val="00A57405"/>
    <w:rsid w:val="00A61947"/>
    <w:rsid w:val="00A62706"/>
    <w:rsid w:val="00A6300A"/>
    <w:rsid w:val="00A638DE"/>
    <w:rsid w:val="00A64568"/>
    <w:rsid w:val="00A658B9"/>
    <w:rsid w:val="00A67C70"/>
    <w:rsid w:val="00A67CA1"/>
    <w:rsid w:val="00A708B0"/>
    <w:rsid w:val="00A722F1"/>
    <w:rsid w:val="00A7440C"/>
    <w:rsid w:val="00A7631B"/>
    <w:rsid w:val="00A77579"/>
    <w:rsid w:val="00A7765A"/>
    <w:rsid w:val="00A77DA3"/>
    <w:rsid w:val="00A8032A"/>
    <w:rsid w:val="00A822EA"/>
    <w:rsid w:val="00A82F28"/>
    <w:rsid w:val="00A8518E"/>
    <w:rsid w:val="00A90912"/>
    <w:rsid w:val="00A95471"/>
    <w:rsid w:val="00AA2B06"/>
    <w:rsid w:val="00AB2845"/>
    <w:rsid w:val="00AB3991"/>
    <w:rsid w:val="00AB5F9D"/>
    <w:rsid w:val="00AB7871"/>
    <w:rsid w:val="00AC2AC6"/>
    <w:rsid w:val="00AC48CF"/>
    <w:rsid w:val="00AC7467"/>
    <w:rsid w:val="00AD0468"/>
    <w:rsid w:val="00AD3EA2"/>
    <w:rsid w:val="00AD6C30"/>
    <w:rsid w:val="00AE0D7E"/>
    <w:rsid w:val="00AE1961"/>
    <w:rsid w:val="00AE2E01"/>
    <w:rsid w:val="00AE330E"/>
    <w:rsid w:val="00AE3464"/>
    <w:rsid w:val="00AF18BC"/>
    <w:rsid w:val="00AF23AF"/>
    <w:rsid w:val="00AF28BA"/>
    <w:rsid w:val="00AF42FB"/>
    <w:rsid w:val="00AF48FC"/>
    <w:rsid w:val="00AF521B"/>
    <w:rsid w:val="00AF7BA2"/>
    <w:rsid w:val="00B065F3"/>
    <w:rsid w:val="00B06F1C"/>
    <w:rsid w:val="00B07956"/>
    <w:rsid w:val="00B10061"/>
    <w:rsid w:val="00B102CE"/>
    <w:rsid w:val="00B10BDC"/>
    <w:rsid w:val="00B1497B"/>
    <w:rsid w:val="00B16675"/>
    <w:rsid w:val="00B16D8D"/>
    <w:rsid w:val="00B203F6"/>
    <w:rsid w:val="00B20B92"/>
    <w:rsid w:val="00B269FE"/>
    <w:rsid w:val="00B2758E"/>
    <w:rsid w:val="00B307B7"/>
    <w:rsid w:val="00B32668"/>
    <w:rsid w:val="00B34207"/>
    <w:rsid w:val="00B368F2"/>
    <w:rsid w:val="00B4211F"/>
    <w:rsid w:val="00B44747"/>
    <w:rsid w:val="00B44B06"/>
    <w:rsid w:val="00B47442"/>
    <w:rsid w:val="00B506BD"/>
    <w:rsid w:val="00B51224"/>
    <w:rsid w:val="00B52C47"/>
    <w:rsid w:val="00B54DDE"/>
    <w:rsid w:val="00B577BE"/>
    <w:rsid w:val="00B62306"/>
    <w:rsid w:val="00B64EC0"/>
    <w:rsid w:val="00B6556C"/>
    <w:rsid w:val="00B66856"/>
    <w:rsid w:val="00B66FF8"/>
    <w:rsid w:val="00B6744D"/>
    <w:rsid w:val="00B70C68"/>
    <w:rsid w:val="00B76BD6"/>
    <w:rsid w:val="00B830D1"/>
    <w:rsid w:val="00B833CA"/>
    <w:rsid w:val="00B83FC9"/>
    <w:rsid w:val="00B844DF"/>
    <w:rsid w:val="00B84662"/>
    <w:rsid w:val="00B85FC1"/>
    <w:rsid w:val="00B86361"/>
    <w:rsid w:val="00B87573"/>
    <w:rsid w:val="00B90336"/>
    <w:rsid w:val="00B91215"/>
    <w:rsid w:val="00B91E2D"/>
    <w:rsid w:val="00B927F2"/>
    <w:rsid w:val="00B94E2F"/>
    <w:rsid w:val="00B97CFB"/>
    <w:rsid w:val="00B97E55"/>
    <w:rsid w:val="00BA0074"/>
    <w:rsid w:val="00BA15B9"/>
    <w:rsid w:val="00BA2A39"/>
    <w:rsid w:val="00BA2D21"/>
    <w:rsid w:val="00BB0B0C"/>
    <w:rsid w:val="00BB107B"/>
    <w:rsid w:val="00BB276E"/>
    <w:rsid w:val="00BB7E58"/>
    <w:rsid w:val="00BC06FC"/>
    <w:rsid w:val="00BC5036"/>
    <w:rsid w:val="00BD6CF2"/>
    <w:rsid w:val="00BD726E"/>
    <w:rsid w:val="00BE0373"/>
    <w:rsid w:val="00BE089E"/>
    <w:rsid w:val="00BE112C"/>
    <w:rsid w:val="00BE2151"/>
    <w:rsid w:val="00BE3946"/>
    <w:rsid w:val="00BE3E4D"/>
    <w:rsid w:val="00BE572A"/>
    <w:rsid w:val="00BE63CC"/>
    <w:rsid w:val="00BE66DF"/>
    <w:rsid w:val="00BF041D"/>
    <w:rsid w:val="00BF12BC"/>
    <w:rsid w:val="00BF1773"/>
    <w:rsid w:val="00BF2077"/>
    <w:rsid w:val="00BF4F46"/>
    <w:rsid w:val="00BF7346"/>
    <w:rsid w:val="00C01DD7"/>
    <w:rsid w:val="00C0461B"/>
    <w:rsid w:val="00C058A2"/>
    <w:rsid w:val="00C07844"/>
    <w:rsid w:val="00C078EA"/>
    <w:rsid w:val="00C07F6B"/>
    <w:rsid w:val="00C13975"/>
    <w:rsid w:val="00C1783D"/>
    <w:rsid w:val="00C22C65"/>
    <w:rsid w:val="00C22CE3"/>
    <w:rsid w:val="00C256AE"/>
    <w:rsid w:val="00C25DC0"/>
    <w:rsid w:val="00C25F96"/>
    <w:rsid w:val="00C275A8"/>
    <w:rsid w:val="00C43F79"/>
    <w:rsid w:val="00C473B1"/>
    <w:rsid w:val="00C47A1C"/>
    <w:rsid w:val="00C47D9A"/>
    <w:rsid w:val="00C500F6"/>
    <w:rsid w:val="00C530C1"/>
    <w:rsid w:val="00C532C0"/>
    <w:rsid w:val="00C5372C"/>
    <w:rsid w:val="00C57E4B"/>
    <w:rsid w:val="00C614D4"/>
    <w:rsid w:val="00C61C06"/>
    <w:rsid w:val="00C62504"/>
    <w:rsid w:val="00C64987"/>
    <w:rsid w:val="00C70F69"/>
    <w:rsid w:val="00C70F87"/>
    <w:rsid w:val="00C713BA"/>
    <w:rsid w:val="00C721A0"/>
    <w:rsid w:val="00C75B7D"/>
    <w:rsid w:val="00C7686F"/>
    <w:rsid w:val="00C80A52"/>
    <w:rsid w:val="00C83DA1"/>
    <w:rsid w:val="00C85999"/>
    <w:rsid w:val="00C923D6"/>
    <w:rsid w:val="00C940CB"/>
    <w:rsid w:val="00C94208"/>
    <w:rsid w:val="00C973B1"/>
    <w:rsid w:val="00CB0441"/>
    <w:rsid w:val="00CB1DB5"/>
    <w:rsid w:val="00CB2BAE"/>
    <w:rsid w:val="00CB6332"/>
    <w:rsid w:val="00CB73CC"/>
    <w:rsid w:val="00CC1D92"/>
    <w:rsid w:val="00CC316E"/>
    <w:rsid w:val="00CC3ED1"/>
    <w:rsid w:val="00CC4445"/>
    <w:rsid w:val="00CC4F26"/>
    <w:rsid w:val="00CC6322"/>
    <w:rsid w:val="00CD0025"/>
    <w:rsid w:val="00CD004D"/>
    <w:rsid w:val="00CD19BA"/>
    <w:rsid w:val="00CD36EB"/>
    <w:rsid w:val="00CD47F7"/>
    <w:rsid w:val="00CD614D"/>
    <w:rsid w:val="00CD652B"/>
    <w:rsid w:val="00CD6824"/>
    <w:rsid w:val="00CD7F4E"/>
    <w:rsid w:val="00CE0FBF"/>
    <w:rsid w:val="00CE2E2B"/>
    <w:rsid w:val="00CE2EB3"/>
    <w:rsid w:val="00CE51B1"/>
    <w:rsid w:val="00CF0CA0"/>
    <w:rsid w:val="00CF52EA"/>
    <w:rsid w:val="00CF63CD"/>
    <w:rsid w:val="00CF7216"/>
    <w:rsid w:val="00D0080E"/>
    <w:rsid w:val="00D034E6"/>
    <w:rsid w:val="00D03D3C"/>
    <w:rsid w:val="00D06BE6"/>
    <w:rsid w:val="00D1075D"/>
    <w:rsid w:val="00D13684"/>
    <w:rsid w:val="00D2046D"/>
    <w:rsid w:val="00D21282"/>
    <w:rsid w:val="00D24B2F"/>
    <w:rsid w:val="00D338A0"/>
    <w:rsid w:val="00D359BE"/>
    <w:rsid w:val="00D35D16"/>
    <w:rsid w:val="00D377AB"/>
    <w:rsid w:val="00D37A4B"/>
    <w:rsid w:val="00D37AE0"/>
    <w:rsid w:val="00D402DA"/>
    <w:rsid w:val="00D41BF8"/>
    <w:rsid w:val="00D41C4C"/>
    <w:rsid w:val="00D43ADC"/>
    <w:rsid w:val="00D45A0B"/>
    <w:rsid w:val="00D522AF"/>
    <w:rsid w:val="00D6039D"/>
    <w:rsid w:val="00D603B2"/>
    <w:rsid w:val="00D62EFD"/>
    <w:rsid w:val="00D64501"/>
    <w:rsid w:val="00D6527D"/>
    <w:rsid w:val="00D70FA2"/>
    <w:rsid w:val="00D71D73"/>
    <w:rsid w:val="00D73CAF"/>
    <w:rsid w:val="00D73D4E"/>
    <w:rsid w:val="00D744A6"/>
    <w:rsid w:val="00D74723"/>
    <w:rsid w:val="00D7746F"/>
    <w:rsid w:val="00D80573"/>
    <w:rsid w:val="00D82667"/>
    <w:rsid w:val="00D84132"/>
    <w:rsid w:val="00D857D0"/>
    <w:rsid w:val="00D866B1"/>
    <w:rsid w:val="00D87C86"/>
    <w:rsid w:val="00D943E7"/>
    <w:rsid w:val="00D9493D"/>
    <w:rsid w:val="00D95B9E"/>
    <w:rsid w:val="00DA049B"/>
    <w:rsid w:val="00DA19F4"/>
    <w:rsid w:val="00DA2716"/>
    <w:rsid w:val="00DA4634"/>
    <w:rsid w:val="00DA4A3D"/>
    <w:rsid w:val="00DA723C"/>
    <w:rsid w:val="00DA7E02"/>
    <w:rsid w:val="00DB3772"/>
    <w:rsid w:val="00DB3948"/>
    <w:rsid w:val="00DB3ACB"/>
    <w:rsid w:val="00DB5E51"/>
    <w:rsid w:val="00DB6176"/>
    <w:rsid w:val="00DC311A"/>
    <w:rsid w:val="00DC6F5D"/>
    <w:rsid w:val="00DD2211"/>
    <w:rsid w:val="00DD6926"/>
    <w:rsid w:val="00DD7B70"/>
    <w:rsid w:val="00DE0392"/>
    <w:rsid w:val="00DE1597"/>
    <w:rsid w:val="00DE1BB0"/>
    <w:rsid w:val="00DE2D00"/>
    <w:rsid w:val="00DE3E8F"/>
    <w:rsid w:val="00DE4E32"/>
    <w:rsid w:val="00DE518D"/>
    <w:rsid w:val="00DE60CD"/>
    <w:rsid w:val="00DF052C"/>
    <w:rsid w:val="00DF0E87"/>
    <w:rsid w:val="00DF2A6A"/>
    <w:rsid w:val="00DF42F9"/>
    <w:rsid w:val="00DF43EF"/>
    <w:rsid w:val="00DF49B0"/>
    <w:rsid w:val="00DF5044"/>
    <w:rsid w:val="00DF77A2"/>
    <w:rsid w:val="00E02FD1"/>
    <w:rsid w:val="00E0368D"/>
    <w:rsid w:val="00E03CFA"/>
    <w:rsid w:val="00E042FF"/>
    <w:rsid w:val="00E0491D"/>
    <w:rsid w:val="00E05BD9"/>
    <w:rsid w:val="00E06D9C"/>
    <w:rsid w:val="00E10A2D"/>
    <w:rsid w:val="00E10F9C"/>
    <w:rsid w:val="00E13E4F"/>
    <w:rsid w:val="00E1444A"/>
    <w:rsid w:val="00E17317"/>
    <w:rsid w:val="00E20E0D"/>
    <w:rsid w:val="00E23D36"/>
    <w:rsid w:val="00E24A77"/>
    <w:rsid w:val="00E25B81"/>
    <w:rsid w:val="00E25BE9"/>
    <w:rsid w:val="00E3060D"/>
    <w:rsid w:val="00E30FC5"/>
    <w:rsid w:val="00E346C1"/>
    <w:rsid w:val="00E369F8"/>
    <w:rsid w:val="00E403C9"/>
    <w:rsid w:val="00E424FB"/>
    <w:rsid w:val="00E46B9F"/>
    <w:rsid w:val="00E47A33"/>
    <w:rsid w:val="00E5079F"/>
    <w:rsid w:val="00E52D50"/>
    <w:rsid w:val="00E53A8B"/>
    <w:rsid w:val="00E54522"/>
    <w:rsid w:val="00E60927"/>
    <w:rsid w:val="00E6127E"/>
    <w:rsid w:val="00E61DDB"/>
    <w:rsid w:val="00E61E68"/>
    <w:rsid w:val="00E667A3"/>
    <w:rsid w:val="00E714BB"/>
    <w:rsid w:val="00E7153F"/>
    <w:rsid w:val="00E73A36"/>
    <w:rsid w:val="00E73D8C"/>
    <w:rsid w:val="00E7469D"/>
    <w:rsid w:val="00E77E6A"/>
    <w:rsid w:val="00E81F9C"/>
    <w:rsid w:val="00E826A9"/>
    <w:rsid w:val="00E839A8"/>
    <w:rsid w:val="00E84DA8"/>
    <w:rsid w:val="00E90410"/>
    <w:rsid w:val="00E9129B"/>
    <w:rsid w:val="00E95A37"/>
    <w:rsid w:val="00E960E8"/>
    <w:rsid w:val="00E97945"/>
    <w:rsid w:val="00EA0CE0"/>
    <w:rsid w:val="00EA11EA"/>
    <w:rsid w:val="00EA1983"/>
    <w:rsid w:val="00EA2AC8"/>
    <w:rsid w:val="00EA3147"/>
    <w:rsid w:val="00EA3356"/>
    <w:rsid w:val="00EA46B0"/>
    <w:rsid w:val="00EA5CDD"/>
    <w:rsid w:val="00EA6094"/>
    <w:rsid w:val="00EA734C"/>
    <w:rsid w:val="00EB0550"/>
    <w:rsid w:val="00EB1651"/>
    <w:rsid w:val="00EB1C5F"/>
    <w:rsid w:val="00EB2919"/>
    <w:rsid w:val="00EB463A"/>
    <w:rsid w:val="00EC0F6B"/>
    <w:rsid w:val="00EC23C8"/>
    <w:rsid w:val="00EC30DE"/>
    <w:rsid w:val="00EC4DF3"/>
    <w:rsid w:val="00EC678F"/>
    <w:rsid w:val="00ED05E1"/>
    <w:rsid w:val="00ED1CEB"/>
    <w:rsid w:val="00ED42E9"/>
    <w:rsid w:val="00ED4727"/>
    <w:rsid w:val="00ED5DC3"/>
    <w:rsid w:val="00EE0806"/>
    <w:rsid w:val="00EE0B7A"/>
    <w:rsid w:val="00EE1B0F"/>
    <w:rsid w:val="00EE2173"/>
    <w:rsid w:val="00EE3B3E"/>
    <w:rsid w:val="00EE6B4E"/>
    <w:rsid w:val="00EE7B8A"/>
    <w:rsid w:val="00EF1FAD"/>
    <w:rsid w:val="00EF4B44"/>
    <w:rsid w:val="00EF5ED0"/>
    <w:rsid w:val="00F01B5A"/>
    <w:rsid w:val="00F070AE"/>
    <w:rsid w:val="00F15663"/>
    <w:rsid w:val="00F21449"/>
    <w:rsid w:val="00F2191D"/>
    <w:rsid w:val="00F21DD1"/>
    <w:rsid w:val="00F22A8B"/>
    <w:rsid w:val="00F2553B"/>
    <w:rsid w:val="00F30C23"/>
    <w:rsid w:val="00F310E3"/>
    <w:rsid w:val="00F316A0"/>
    <w:rsid w:val="00F340A9"/>
    <w:rsid w:val="00F34558"/>
    <w:rsid w:val="00F374F5"/>
    <w:rsid w:val="00F40202"/>
    <w:rsid w:val="00F40742"/>
    <w:rsid w:val="00F41DB6"/>
    <w:rsid w:val="00F4270C"/>
    <w:rsid w:val="00F43848"/>
    <w:rsid w:val="00F47F86"/>
    <w:rsid w:val="00F501F9"/>
    <w:rsid w:val="00F504BB"/>
    <w:rsid w:val="00F5073B"/>
    <w:rsid w:val="00F5135E"/>
    <w:rsid w:val="00F5165B"/>
    <w:rsid w:val="00F52982"/>
    <w:rsid w:val="00F53D1A"/>
    <w:rsid w:val="00F545B4"/>
    <w:rsid w:val="00F54FED"/>
    <w:rsid w:val="00F57905"/>
    <w:rsid w:val="00F606A6"/>
    <w:rsid w:val="00F61D15"/>
    <w:rsid w:val="00F621BC"/>
    <w:rsid w:val="00F63E19"/>
    <w:rsid w:val="00F66CB3"/>
    <w:rsid w:val="00F70BEB"/>
    <w:rsid w:val="00F82E2E"/>
    <w:rsid w:val="00F86580"/>
    <w:rsid w:val="00F9649C"/>
    <w:rsid w:val="00F97A09"/>
    <w:rsid w:val="00F97B71"/>
    <w:rsid w:val="00F97C46"/>
    <w:rsid w:val="00FA148B"/>
    <w:rsid w:val="00FA1658"/>
    <w:rsid w:val="00FA1907"/>
    <w:rsid w:val="00FA2047"/>
    <w:rsid w:val="00FA380D"/>
    <w:rsid w:val="00FA389B"/>
    <w:rsid w:val="00FA4905"/>
    <w:rsid w:val="00FA6EE2"/>
    <w:rsid w:val="00FB0126"/>
    <w:rsid w:val="00FB0F72"/>
    <w:rsid w:val="00FB1888"/>
    <w:rsid w:val="00FB294D"/>
    <w:rsid w:val="00FB36BB"/>
    <w:rsid w:val="00FB4568"/>
    <w:rsid w:val="00FB4F35"/>
    <w:rsid w:val="00FB64F7"/>
    <w:rsid w:val="00FB7CC5"/>
    <w:rsid w:val="00FC0CED"/>
    <w:rsid w:val="00FC0F68"/>
    <w:rsid w:val="00FC1CAB"/>
    <w:rsid w:val="00FC2010"/>
    <w:rsid w:val="00FC470F"/>
    <w:rsid w:val="00FC6AE9"/>
    <w:rsid w:val="00FD2EE3"/>
    <w:rsid w:val="00FD3392"/>
    <w:rsid w:val="00FD349D"/>
    <w:rsid w:val="00FD3BC3"/>
    <w:rsid w:val="00FD562A"/>
    <w:rsid w:val="00FD62ED"/>
    <w:rsid w:val="00FD6797"/>
    <w:rsid w:val="00FE0C2E"/>
    <w:rsid w:val="00FE0CD5"/>
    <w:rsid w:val="00FE18A5"/>
    <w:rsid w:val="00FE37E4"/>
    <w:rsid w:val="00FE3AE3"/>
    <w:rsid w:val="00FE3C17"/>
    <w:rsid w:val="00FF252E"/>
    <w:rsid w:val="00FF414A"/>
    <w:rsid w:val="00FF6B46"/>
    <w:rsid w:val="00FF77B5"/>
    <w:rsid w:val="0143AAF3"/>
    <w:rsid w:val="0159BF3C"/>
    <w:rsid w:val="016DC2C8"/>
    <w:rsid w:val="028C9663"/>
    <w:rsid w:val="029690ED"/>
    <w:rsid w:val="02D7F02C"/>
    <w:rsid w:val="033F95A5"/>
    <w:rsid w:val="036CF320"/>
    <w:rsid w:val="03AFA85A"/>
    <w:rsid w:val="03D9AFD6"/>
    <w:rsid w:val="03F0CB43"/>
    <w:rsid w:val="040452BF"/>
    <w:rsid w:val="043A2B8A"/>
    <w:rsid w:val="04681986"/>
    <w:rsid w:val="04AA6D4C"/>
    <w:rsid w:val="04B86CD7"/>
    <w:rsid w:val="04C70775"/>
    <w:rsid w:val="04E14F71"/>
    <w:rsid w:val="05060E5B"/>
    <w:rsid w:val="05820C4B"/>
    <w:rsid w:val="05B5450D"/>
    <w:rsid w:val="05D2211B"/>
    <w:rsid w:val="06323A4F"/>
    <w:rsid w:val="074587CF"/>
    <w:rsid w:val="07579E0F"/>
    <w:rsid w:val="07665CA7"/>
    <w:rsid w:val="076D1D8A"/>
    <w:rsid w:val="07B105F1"/>
    <w:rsid w:val="07F08E17"/>
    <w:rsid w:val="0807C2C1"/>
    <w:rsid w:val="083B683F"/>
    <w:rsid w:val="085237F0"/>
    <w:rsid w:val="0858CBD3"/>
    <w:rsid w:val="0903B0C3"/>
    <w:rsid w:val="0952A1E6"/>
    <w:rsid w:val="09633948"/>
    <w:rsid w:val="096DDE33"/>
    <w:rsid w:val="0971C1F5"/>
    <w:rsid w:val="0A596B3D"/>
    <w:rsid w:val="0A7F85B1"/>
    <w:rsid w:val="0ACD3420"/>
    <w:rsid w:val="0B24E1F3"/>
    <w:rsid w:val="0B27D519"/>
    <w:rsid w:val="0BA5048D"/>
    <w:rsid w:val="0BE4B570"/>
    <w:rsid w:val="0C2E2653"/>
    <w:rsid w:val="0C89AA7A"/>
    <w:rsid w:val="0CA9B462"/>
    <w:rsid w:val="0CCAA965"/>
    <w:rsid w:val="0D4155C1"/>
    <w:rsid w:val="0D44B79D"/>
    <w:rsid w:val="0D7C4CE4"/>
    <w:rsid w:val="0DD41952"/>
    <w:rsid w:val="0DE488F3"/>
    <w:rsid w:val="0E6CAB0D"/>
    <w:rsid w:val="0F891AD4"/>
    <w:rsid w:val="0F89614E"/>
    <w:rsid w:val="0FCF8A83"/>
    <w:rsid w:val="0FE825BA"/>
    <w:rsid w:val="0FFFD84E"/>
    <w:rsid w:val="101994FE"/>
    <w:rsid w:val="109428FD"/>
    <w:rsid w:val="10D2C6EE"/>
    <w:rsid w:val="10F44B7C"/>
    <w:rsid w:val="110DEF48"/>
    <w:rsid w:val="11CC3A70"/>
    <w:rsid w:val="130345CE"/>
    <w:rsid w:val="13433170"/>
    <w:rsid w:val="136CC9D6"/>
    <w:rsid w:val="138E8E8D"/>
    <w:rsid w:val="1398D314"/>
    <w:rsid w:val="13CE4A77"/>
    <w:rsid w:val="144B628D"/>
    <w:rsid w:val="146545D3"/>
    <w:rsid w:val="146D83D4"/>
    <w:rsid w:val="14898743"/>
    <w:rsid w:val="157B538F"/>
    <w:rsid w:val="159D7FCB"/>
    <w:rsid w:val="1613A315"/>
    <w:rsid w:val="166CFAB9"/>
    <w:rsid w:val="167CE967"/>
    <w:rsid w:val="16C9904D"/>
    <w:rsid w:val="17190A31"/>
    <w:rsid w:val="183E7FF8"/>
    <w:rsid w:val="18945846"/>
    <w:rsid w:val="189B5AC4"/>
    <w:rsid w:val="190FECEB"/>
    <w:rsid w:val="1A10A609"/>
    <w:rsid w:val="1AA5E9E0"/>
    <w:rsid w:val="1ABABFF0"/>
    <w:rsid w:val="1AEB31E3"/>
    <w:rsid w:val="1B4B1140"/>
    <w:rsid w:val="1B5C9B78"/>
    <w:rsid w:val="1BA06B0C"/>
    <w:rsid w:val="1BB0C47B"/>
    <w:rsid w:val="1C43086F"/>
    <w:rsid w:val="1C43555F"/>
    <w:rsid w:val="1C7D1540"/>
    <w:rsid w:val="1D482B99"/>
    <w:rsid w:val="1DB1ABDF"/>
    <w:rsid w:val="1DD26F31"/>
    <w:rsid w:val="1DD4ED53"/>
    <w:rsid w:val="1E662DB6"/>
    <w:rsid w:val="1EC1F6ED"/>
    <w:rsid w:val="1EC8ADB0"/>
    <w:rsid w:val="1F21EAF0"/>
    <w:rsid w:val="1F429BB6"/>
    <w:rsid w:val="1F940EED"/>
    <w:rsid w:val="1FDD66BB"/>
    <w:rsid w:val="1FEC3268"/>
    <w:rsid w:val="20116854"/>
    <w:rsid w:val="20262280"/>
    <w:rsid w:val="208D15B1"/>
    <w:rsid w:val="20E03A03"/>
    <w:rsid w:val="20E2A631"/>
    <w:rsid w:val="210E68DD"/>
    <w:rsid w:val="21C67D5F"/>
    <w:rsid w:val="21DA4AA3"/>
    <w:rsid w:val="22143287"/>
    <w:rsid w:val="221DB31C"/>
    <w:rsid w:val="224F2888"/>
    <w:rsid w:val="22A22F0E"/>
    <w:rsid w:val="22D17CA1"/>
    <w:rsid w:val="230FBC83"/>
    <w:rsid w:val="231C5904"/>
    <w:rsid w:val="236F5FB6"/>
    <w:rsid w:val="2390A4D8"/>
    <w:rsid w:val="23B4825F"/>
    <w:rsid w:val="2408EE02"/>
    <w:rsid w:val="25283129"/>
    <w:rsid w:val="25323D55"/>
    <w:rsid w:val="253DD008"/>
    <w:rsid w:val="25DAFF97"/>
    <w:rsid w:val="25EC92D2"/>
    <w:rsid w:val="26897603"/>
    <w:rsid w:val="2712246B"/>
    <w:rsid w:val="2738B0F2"/>
    <w:rsid w:val="274013F8"/>
    <w:rsid w:val="2751CCCD"/>
    <w:rsid w:val="2757AA93"/>
    <w:rsid w:val="2786C1A8"/>
    <w:rsid w:val="27C98AC9"/>
    <w:rsid w:val="27CDF4AA"/>
    <w:rsid w:val="288D8017"/>
    <w:rsid w:val="2894B2B9"/>
    <w:rsid w:val="28B08AE9"/>
    <w:rsid w:val="29600EF2"/>
    <w:rsid w:val="296F5436"/>
    <w:rsid w:val="298519DC"/>
    <w:rsid w:val="29D3405B"/>
    <w:rsid w:val="29DFCD89"/>
    <w:rsid w:val="29E01CAF"/>
    <w:rsid w:val="2A0F16CF"/>
    <w:rsid w:val="2A4533B5"/>
    <w:rsid w:val="2A66F3CA"/>
    <w:rsid w:val="2A8AE6AC"/>
    <w:rsid w:val="2A8B21F4"/>
    <w:rsid w:val="2AA3B631"/>
    <w:rsid w:val="2ABB6A66"/>
    <w:rsid w:val="2AC5F26F"/>
    <w:rsid w:val="2AF9AD12"/>
    <w:rsid w:val="2B3D4F57"/>
    <w:rsid w:val="2B8C2A05"/>
    <w:rsid w:val="2BA44CB7"/>
    <w:rsid w:val="2BD4B720"/>
    <w:rsid w:val="2C22DB8E"/>
    <w:rsid w:val="2C478E78"/>
    <w:rsid w:val="2CD81F8F"/>
    <w:rsid w:val="2CFF52D2"/>
    <w:rsid w:val="2D045BC4"/>
    <w:rsid w:val="2D41EB37"/>
    <w:rsid w:val="2D5AE277"/>
    <w:rsid w:val="2D770CFE"/>
    <w:rsid w:val="2E2624EA"/>
    <w:rsid w:val="2E409C12"/>
    <w:rsid w:val="2E8B4674"/>
    <w:rsid w:val="2F3E8BF4"/>
    <w:rsid w:val="3097C0E3"/>
    <w:rsid w:val="312EB536"/>
    <w:rsid w:val="3176D88A"/>
    <w:rsid w:val="319AE36E"/>
    <w:rsid w:val="31BD182A"/>
    <w:rsid w:val="31F08EDB"/>
    <w:rsid w:val="320EE5EE"/>
    <w:rsid w:val="3236A8EC"/>
    <w:rsid w:val="323E49DB"/>
    <w:rsid w:val="324A2B6E"/>
    <w:rsid w:val="3254DE42"/>
    <w:rsid w:val="32AF6311"/>
    <w:rsid w:val="32E21DFC"/>
    <w:rsid w:val="32F1F26C"/>
    <w:rsid w:val="332AA599"/>
    <w:rsid w:val="33C3410A"/>
    <w:rsid w:val="3471E241"/>
    <w:rsid w:val="3478205A"/>
    <w:rsid w:val="34AEF515"/>
    <w:rsid w:val="357B65F3"/>
    <w:rsid w:val="360106A2"/>
    <w:rsid w:val="3641D8A3"/>
    <w:rsid w:val="36B27301"/>
    <w:rsid w:val="36C49CCC"/>
    <w:rsid w:val="37066B3E"/>
    <w:rsid w:val="37A1FAA3"/>
    <w:rsid w:val="37F58098"/>
    <w:rsid w:val="381CBDE9"/>
    <w:rsid w:val="386CA778"/>
    <w:rsid w:val="389EDF43"/>
    <w:rsid w:val="38C76D69"/>
    <w:rsid w:val="38CAE5A2"/>
    <w:rsid w:val="38F5531D"/>
    <w:rsid w:val="393E1B8B"/>
    <w:rsid w:val="394952A8"/>
    <w:rsid w:val="39E183FB"/>
    <w:rsid w:val="39FF99C1"/>
    <w:rsid w:val="3A33725E"/>
    <w:rsid w:val="3A46EB8A"/>
    <w:rsid w:val="3A8827A0"/>
    <w:rsid w:val="3AB35D66"/>
    <w:rsid w:val="3AB708AC"/>
    <w:rsid w:val="3AC73349"/>
    <w:rsid w:val="3BBF4325"/>
    <w:rsid w:val="3BCE75F6"/>
    <w:rsid w:val="3CB07B65"/>
    <w:rsid w:val="3DCBB277"/>
    <w:rsid w:val="3DD54184"/>
    <w:rsid w:val="3E6B6979"/>
    <w:rsid w:val="3E784136"/>
    <w:rsid w:val="3EBA2F5D"/>
    <w:rsid w:val="3ED73C25"/>
    <w:rsid w:val="3EF9B482"/>
    <w:rsid w:val="3EFEBBF1"/>
    <w:rsid w:val="3F7FC6E4"/>
    <w:rsid w:val="3F9760C1"/>
    <w:rsid w:val="3FEF3066"/>
    <w:rsid w:val="40439C8F"/>
    <w:rsid w:val="40715B52"/>
    <w:rsid w:val="40A4EF9F"/>
    <w:rsid w:val="4107C219"/>
    <w:rsid w:val="419CA634"/>
    <w:rsid w:val="41B00390"/>
    <w:rsid w:val="425AEB65"/>
    <w:rsid w:val="4284DD0C"/>
    <w:rsid w:val="429A35B4"/>
    <w:rsid w:val="4301168D"/>
    <w:rsid w:val="4302308E"/>
    <w:rsid w:val="433B4893"/>
    <w:rsid w:val="434F68C8"/>
    <w:rsid w:val="4368A349"/>
    <w:rsid w:val="43D95264"/>
    <w:rsid w:val="43FFD67E"/>
    <w:rsid w:val="44536D04"/>
    <w:rsid w:val="457EB81A"/>
    <w:rsid w:val="45E0BD7F"/>
    <w:rsid w:val="4629220B"/>
    <w:rsid w:val="462E0EF6"/>
    <w:rsid w:val="467177D2"/>
    <w:rsid w:val="46775312"/>
    <w:rsid w:val="46CAB2ED"/>
    <w:rsid w:val="4752894B"/>
    <w:rsid w:val="484B031D"/>
    <w:rsid w:val="485AD16C"/>
    <w:rsid w:val="48C65D46"/>
    <w:rsid w:val="48E84947"/>
    <w:rsid w:val="491EB5D1"/>
    <w:rsid w:val="49543D95"/>
    <w:rsid w:val="49ADA4A4"/>
    <w:rsid w:val="4A27F6FD"/>
    <w:rsid w:val="4A8BFA7B"/>
    <w:rsid w:val="4B1B20D4"/>
    <w:rsid w:val="4B2A553A"/>
    <w:rsid w:val="4B5EB82A"/>
    <w:rsid w:val="4C064A65"/>
    <w:rsid w:val="4C40CCEA"/>
    <w:rsid w:val="4C82881B"/>
    <w:rsid w:val="4C9BF461"/>
    <w:rsid w:val="4CE2078E"/>
    <w:rsid w:val="4D7113B1"/>
    <w:rsid w:val="4E9CCFA6"/>
    <w:rsid w:val="4EC31025"/>
    <w:rsid w:val="4ED673F5"/>
    <w:rsid w:val="4F38EABB"/>
    <w:rsid w:val="4F5CF16F"/>
    <w:rsid w:val="500AB908"/>
    <w:rsid w:val="5029B75F"/>
    <w:rsid w:val="50526ACA"/>
    <w:rsid w:val="505455E5"/>
    <w:rsid w:val="507B67EF"/>
    <w:rsid w:val="50E0F84F"/>
    <w:rsid w:val="513B30A0"/>
    <w:rsid w:val="5141274F"/>
    <w:rsid w:val="51B671D6"/>
    <w:rsid w:val="51C27C9D"/>
    <w:rsid w:val="520DB70A"/>
    <w:rsid w:val="527E454D"/>
    <w:rsid w:val="5283F963"/>
    <w:rsid w:val="52BE73B0"/>
    <w:rsid w:val="52C01875"/>
    <w:rsid w:val="5317D184"/>
    <w:rsid w:val="5353D5FC"/>
    <w:rsid w:val="53950CB3"/>
    <w:rsid w:val="53C095C1"/>
    <w:rsid w:val="53D6DA90"/>
    <w:rsid w:val="53DACA03"/>
    <w:rsid w:val="54132B5A"/>
    <w:rsid w:val="5424F1AF"/>
    <w:rsid w:val="54462BDF"/>
    <w:rsid w:val="548ABA5C"/>
    <w:rsid w:val="54AAB485"/>
    <w:rsid w:val="554F1229"/>
    <w:rsid w:val="559243D0"/>
    <w:rsid w:val="55C63520"/>
    <w:rsid w:val="561A4AE2"/>
    <w:rsid w:val="561DFF6D"/>
    <w:rsid w:val="56E35E4A"/>
    <w:rsid w:val="56FCF3B7"/>
    <w:rsid w:val="5721E75C"/>
    <w:rsid w:val="57342878"/>
    <w:rsid w:val="5744734D"/>
    <w:rsid w:val="577109DD"/>
    <w:rsid w:val="5847196A"/>
    <w:rsid w:val="58711462"/>
    <w:rsid w:val="58B3F51D"/>
    <w:rsid w:val="59532F02"/>
    <w:rsid w:val="5964F679"/>
    <w:rsid w:val="5A842A85"/>
    <w:rsid w:val="5BB4C1C4"/>
    <w:rsid w:val="5BC14B3D"/>
    <w:rsid w:val="5BEBCEE9"/>
    <w:rsid w:val="5C47E8E4"/>
    <w:rsid w:val="5C5B7626"/>
    <w:rsid w:val="5C99869A"/>
    <w:rsid w:val="5D3C062E"/>
    <w:rsid w:val="5D415849"/>
    <w:rsid w:val="5E1BDCFA"/>
    <w:rsid w:val="5E3DCAA3"/>
    <w:rsid w:val="5E89ED68"/>
    <w:rsid w:val="5EE10878"/>
    <w:rsid w:val="5EF9F48A"/>
    <w:rsid w:val="5F0636FD"/>
    <w:rsid w:val="5F742CC6"/>
    <w:rsid w:val="5F9FA0CF"/>
    <w:rsid w:val="5FEE2017"/>
    <w:rsid w:val="604FCFF7"/>
    <w:rsid w:val="60A570AD"/>
    <w:rsid w:val="614D2EA5"/>
    <w:rsid w:val="61D92DE2"/>
    <w:rsid w:val="61E1982E"/>
    <w:rsid w:val="6226FF3A"/>
    <w:rsid w:val="6251E47C"/>
    <w:rsid w:val="625C016B"/>
    <w:rsid w:val="625D31CC"/>
    <w:rsid w:val="63BDFAE2"/>
    <w:rsid w:val="63E83C7D"/>
    <w:rsid w:val="640304EF"/>
    <w:rsid w:val="640A83A1"/>
    <w:rsid w:val="640D2B22"/>
    <w:rsid w:val="64943BF5"/>
    <w:rsid w:val="64FC4F3D"/>
    <w:rsid w:val="6567D902"/>
    <w:rsid w:val="6652AD04"/>
    <w:rsid w:val="665A7ED1"/>
    <w:rsid w:val="66A9D37A"/>
    <w:rsid w:val="672D5672"/>
    <w:rsid w:val="679AD830"/>
    <w:rsid w:val="67AFA1E7"/>
    <w:rsid w:val="67EDA6CD"/>
    <w:rsid w:val="6822D10A"/>
    <w:rsid w:val="682EC128"/>
    <w:rsid w:val="68C2359A"/>
    <w:rsid w:val="69389445"/>
    <w:rsid w:val="694B2393"/>
    <w:rsid w:val="697C8E5C"/>
    <w:rsid w:val="6982B93C"/>
    <w:rsid w:val="69DB63B4"/>
    <w:rsid w:val="6B4E9957"/>
    <w:rsid w:val="6BC0F522"/>
    <w:rsid w:val="6BEA0404"/>
    <w:rsid w:val="6BED7C02"/>
    <w:rsid w:val="6C9DEBA9"/>
    <w:rsid w:val="6CBF985E"/>
    <w:rsid w:val="6CE0492B"/>
    <w:rsid w:val="6E1877A2"/>
    <w:rsid w:val="6E3CE1EB"/>
    <w:rsid w:val="6F43DCC6"/>
    <w:rsid w:val="6FE32BFB"/>
    <w:rsid w:val="7051A0C1"/>
    <w:rsid w:val="707DBEE6"/>
    <w:rsid w:val="70803AD8"/>
    <w:rsid w:val="7177F920"/>
    <w:rsid w:val="71934E51"/>
    <w:rsid w:val="7197A583"/>
    <w:rsid w:val="71A0441F"/>
    <w:rsid w:val="71C92CA4"/>
    <w:rsid w:val="720075DF"/>
    <w:rsid w:val="723C8935"/>
    <w:rsid w:val="72668C78"/>
    <w:rsid w:val="729E4273"/>
    <w:rsid w:val="72D40161"/>
    <w:rsid w:val="732DA958"/>
    <w:rsid w:val="73439470"/>
    <w:rsid w:val="737498CC"/>
    <w:rsid w:val="73A48FB4"/>
    <w:rsid w:val="73A73C04"/>
    <w:rsid w:val="73C1929C"/>
    <w:rsid w:val="73E2C6B2"/>
    <w:rsid w:val="74599F70"/>
    <w:rsid w:val="74C98387"/>
    <w:rsid w:val="74D9046C"/>
    <w:rsid w:val="754F36A2"/>
    <w:rsid w:val="757AD9C2"/>
    <w:rsid w:val="758BEEB2"/>
    <w:rsid w:val="7608E66D"/>
    <w:rsid w:val="76485889"/>
    <w:rsid w:val="7657A393"/>
    <w:rsid w:val="76662E59"/>
    <w:rsid w:val="76A95175"/>
    <w:rsid w:val="76D25257"/>
    <w:rsid w:val="77BD1D45"/>
    <w:rsid w:val="77D1A6AA"/>
    <w:rsid w:val="7826115E"/>
    <w:rsid w:val="785B9981"/>
    <w:rsid w:val="790ED5A3"/>
    <w:rsid w:val="7940B381"/>
    <w:rsid w:val="7A54D5C4"/>
    <w:rsid w:val="7AABE83C"/>
    <w:rsid w:val="7B230A7D"/>
    <w:rsid w:val="7B6C4BEF"/>
    <w:rsid w:val="7BC31957"/>
    <w:rsid w:val="7BDBB66F"/>
    <w:rsid w:val="7C5E40FE"/>
    <w:rsid w:val="7D264999"/>
    <w:rsid w:val="7D60F097"/>
    <w:rsid w:val="7D81F581"/>
    <w:rsid w:val="7DBA2E57"/>
    <w:rsid w:val="7DD9A3F4"/>
    <w:rsid w:val="7E7D4055"/>
    <w:rsid w:val="7EE122C9"/>
    <w:rsid w:val="7F2A0852"/>
    <w:rsid w:val="7F463664"/>
    <w:rsid w:val="7FAF0F7A"/>
    <w:rsid w:val="7FDF6BD9"/>
    <w:rsid w:val="7FED64FE"/>
    <w:rsid w:val="7FFA7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4C59D"/>
  <w15:chartTrackingRefBased/>
  <w15:docId w15:val="{2426C557-0F4A-49DF-A6A6-E264328DB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FC3"/>
    <w:pPr>
      <w:spacing w:line="480" w:lineRule="auto"/>
    </w:pPr>
    <w:rPr>
      <w:rFonts w:eastAsiaTheme="minorHAnsi" w:cstheme="minorHAnsi"/>
      <w:kern w:val="2"/>
      <w:lang w:eastAsia="en-GB"/>
      <w14:ligatures w14:val="standardContextual"/>
    </w:rPr>
  </w:style>
  <w:style w:type="paragraph" w:styleId="Heading1">
    <w:name w:val="heading 1"/>
    <w:basedOn w:val="Normal"/>
    <w:next w:val="Normal"/>
    <w:link w:val="Heading1Char"/>
    <w:uiPriority w:val="9"/>
    <w:qFormat/>
    <w:rsid w:val="00245FC3"/>
    <w:pPr>
      <w:keepNext/>
      <w:keepLines/>
      <w:numPr>
        <w:numId w:val="21"/>
      </w:numPr>
      <w:spacing w:before="360" w:after="80"/>
      <w:outlineLvl w:val="0"/>
    </w:pPr>
    <w:rPr>
      <w:rFonts w:asciiTheme="majorHAnsi" w:eastAsia="Times New Roman" w:hAnsiTheme="majorHAnsi" w:cstheme="majorBidi"/>
      <w:b/>
      <w:color w:val="000000" w:themeColor="text1"/>
      <w:sz w:val="36"/>
      <w:szCs w:val="40"/>
    </w:rPr>
  </w:style>
  <w:style w:type="paragraph" w:styleId="Heading2">
    <w:name w:val="heading 2"/>
    <w:basedOn w:val="Normal"/>
    <w:next w:val="Normal"/>
    <w:link w:val="Heading2Char"/>
    <w:uiPriority w:val="9"/>
    <w:unhideWhenUsed/>
    <w:qFormat/>
    <w:rsid w:val="00245FC3"/>
    <w:pPr>
      <w:keepNext/>
      <w:keepLines/>
      <w:numPr>
        <w:ilvl w:val="1"/>
        <w:numId w:val="21"/>
      </w:numPr>
      <w:spacing w:before="160" w:after="80"/>
      <w:outlineLvl w:val="1"/>
    </w:pPr>
    <w:rPr>
      <w:rFonts w:asciiTheme="majorHAnsi" w:eastAsiaTheme="majorEastAsia" w:hAnsiTheme="majorHAnsi" w:cstheme="majorBidi"/>
      <w:b/>
      <w:color w:val="000000" w:themeColor="text1"/>
      <w:sz w:val="28"/>
      <w:szCs w:val="32"/>
      <w:u w:val="single"/>
    </w:rPr>
  </w:style>
  <w:style w:type="paragraph" w:styleId="Heading3">
    <w:name w:val="heading 3"/>
    <w:basedOn w:val="Normal"/>
    <w:next w:val="Normal"/>
    <w:link w:val="Heading3Char"/>
    <w:uiPriority w:val="9"/>
    <w:unhideWhenUsed/>
    <w:qFormat/>
    <w:rsid w:val="00245FC3"/>
    <w:pPr>
      <w:keepNext/>
      <w:keepLines/>
      <w:numPr>
        <w:ilvl w:val="2"/>
        <w:numId w:val="21"/>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FC3"/>
    <w:pPr>
      <w:keepNext/>
      <w:keepLines/>
      <w:numPr>
        <w:ilvl w:val="3"/>
        <w:numId w:val="2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FC3"/>
    <w:pPr>
      <w:keepNext/>
      <w:keepLines/>
      <w:numPr>
        <w:ilvl w:val="4"/>
        <w:numId w:val="2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FC3"/>
    <w:pPr>
      <w:keepNext/>
      <w:keepLines/>
      <w:numPr>
        <w:ilvl w:val="5"/>
        <w:numId w:val="2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FC3"/>
    <w:pPr>
      <w:keepNext/>
      <w:keepLines/>
      <w:numPr>
        <w:ilvl w:val="6"/>
        <w:numId w:val="2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FC3"/>
    <w:pPr>
      <w:keepNext/>
      <w:keepLines/>
      <w:numPr>
        <w:ilvl w:val="7"/>
        <w:numId w:val="2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FC3"/>
    <w:pPr>
      <w:keepNext/>
      <w:keepLines/>
      <w:numPr>
        <w:ilvl w:val="8"/>
        <w:numId w:val="2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245F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FC3"/>
  </w:style>
  <w:style w:type="paragraph" w:styleId="ListParagraph">
    <w:name w:val="List Paragraph"/>
    <w:basedOn w:val="Normal"/>
    <w:uiPriority w:val="34"/>
    <w:qFormat/>
    <w:rsid w:val="00245FC3"/>
    <w:pPr>
      <w:ind w:left="720"/>
      <w:contextualSpacing/>
    </w:pPr>
  </w:style>
  <w:style w:type="paragraph" w:styleId="Header">
    <w:name w:val="header"/>
    <w:basedOn w:val="Normal"/>
    <w:link w:val="HeaderChar"/>
    <w:uiPriority w:val="99"/>
    <w:unhideWhenUsed/>
    <w:rsid w:val="00245FC3"/>
    <w:pPr>
      <w:tabs>
        <w:tab w:val="center" w:pos="4513"/>
        <w:tab w:val="right" w:pos="9026"/>
      </w:tabs>
      <w:spacing w:after="0" w:line="240" w:lineRule="auto"/>
    </w:pPr>
  </w:style>
  <w:style w:type="paragraph" w:styleId="Footer">
    <w:name w:val="footer"/>
    <w:basedOn w:val="Normal"/>
    <w:link w:val="FooterChar"/>
    <w:uiPriority w:val="99"/>
    <w:unhideWhenUsed/>
    <w:rsid w:val="00245FC3"/>
    <w:pPr>
      <w:tabs>
        <w:tab w:val="center" w:pos="4513"/>
        <w:tab w:val="right" w:pos="9026"/>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245FC3"/>
    <w:rPr>
      <w:rFonts w:eastAsiaTheme="minorHAnsi" w:cstheme="minorHAnsi"/>
      <w:kern w:val="2"/>
      <w:lang w:eastAsia="en-GB"/>
      <w14:ligatures w14:val="standardContextual"/>
    </w:rPr>
  </w:style>
  <w:style w:type="character" w:customStyle="1" w:styleId="Heading1Char">
    <w:name w:val="Heading 1 Char"/>
    <w:basedOn w:val="DefaultParagraphFont"/>
    <w:link w:val="Heading1"/>
    <w:uiPriority w:val="9"/>
    <w:rsid w:val="00245FC3"/>
    <w:rPr>
      <w:rFonts w:asciiTheme="majorHAnsi" w:eastAsia="Times New Roman" w:hAnsiTheme="majorHAnsi" w:cstheme="majorBidi"/>
      <w:b/>
      <w:color w:val="000000" w:themeColor="text1"/>
      <w:kern w:val="2"/>
      <w:sz w:val="36"/>
      <w:szCs w:val="40"/>
      <w:lang w:eastAsia="en-GB"/>
      <w14:ligatures w14:val="standardContextual"/>
    </w:rPr>
  </w:style>
  <w:style w:type="paragraph" w:styleId="TOCHeading">
    <w:name w:val="TOC Heading"/>
    <w:basedOn w:val="Heading1"/>
    <w:next w:val="Normal"/>
    <w:uiPriority w:val="39"/>
    <w:unhideWhenUsed/>
    <w:qFormat/>
    <w:rsid w:val="00763F96"/>
    <w:pPr>
      <w:spacing w:line="259" w:lineRule="auto"/>
      <w:outlineLvl w:val="9"/>
    </w:pPr>
    <w:rPr>
      <w:lang w:val="en-US" w:eastAsia="en-US"/>
    </w:rPr>
  </w:style>
  <w:style w:type="character" w:customStyle="1" w:styleId="Heading2Char">
    <w:name w:val="Heading 2 Char"/>
    <w:basedOn w:val="DefaultParagraphFont"/>
    <w:link w:val="Heading2"/>
    <w:uiPriority w:val="9"/>
    <w:rsid w:val="00245FC3"/>
    <w:rPr>
      <w:rFonts w:asciiTheme="majorHAnsi" w:eastAsiaTheme="majorEastAsia" w:hAnsiTheme="majorHAnsi" w:cstheme="majorBidi"/>
      <w:b/>
      <w:color w:val="000000" w:themeColor="text1"/>
      <w:kern w:val="2"/>
      <w:sz w:val="28"/>
      <w:szCs w:val="32"/>
      <w:u w:val="single"/>
      <w:lang w:eastAsia="en-GB"/>
      <w14:ligatures w14:val="standardContextual"/>
    </w:rPr>
  </w:style>
  <w:style w:type="character" w:customStyle="1" w:styleId="Heading3Char">
    <w:name w:val="Heading 3 Char"/>
    <w:basedOn w:val="DefaultParagraphFont"/>
    <w:link w:val="Heading3"/>
    <w:uiPriority w:val="9"/>
    <w:rsid w:val="00245FC3"/>
    <w:rPr>
      <w:rFonts w:eastAsiaTheme="majorEastAsia" w:cstheme="majorBidi"/>
      <w:color w:val="0F4761" w:themeColor="accent1" w:themeShade="BF"/>
      <w:kern w:val="2"/>
      <w:sz w:val="28"/>
      <w:szCs w:val="28"/>
      <w:lang w:eastAsia="en-GB"/>
      <w14:ligatures w14:val="standardContextual"/>
    </w:rPr>
  </w:style>
  <w:style w:type="paragraph" w:styleId="TOC2">
    <w:name w:val="toc 2"/>
    <w:basedOn w:val="Normal"/>
    <w:next w:val="Normal"/>
    <w:autoRedefine/>
    <w:uiPriority w:val="39"/>
    <w:unhideWhenUsed/>
    <w:rsid w:val="00245FC3"/>
    <w:pPr>
      <w:spacing w:before="120" w:after="0"/>
      <w:ind w:left="240"/>
    </w:pPr>
    <w:rPr>
      <w:i/>
      <w:iCs/>
      <w:sz w:val="20"/>
      <w:szCs w:val="20"/>
    </w:rPr>
  </w:style>
  <w:style w:type="paragraph" w:styleId="TOC3">
    <w:name w:val="toc 3"/>
    <w:basedOn w:val="Normal"/>
    <w:next w:val="Normal"/>
    <w:autoRedefine/>
    <w:uiPriority w:val="39"/>
    <w:unhideWhenUsed/>
    <w:rsid w:val="00245FC3"/>
    <w:pPr>
      <w:spacing w:after="0"/>
      <w:ind w:left="480"/>
    </w:pPr>
    <w:rPr>
      <w:sz w:val="20"/>
      <w:szCs w:val="20"/>
    </w:rPr>
  </w:style>
  <w:style w:type="character" w:styleId="Hyperlink">
    <w:name w:val="Hyperlink"/>
    <w:basedOn w:val="DefaultParagraphFont"/>
    <w:uiPriority w:val="99"/>
    <w:unhideWhenUsed/>
    <w:rsid w:val="00245FC3"/>
    <w:rPr>
      <w:color w:val="467886" w:themeColor="hyperlink"/>
      <w:u w:val="single"/>
    </w:rPr>
  </w:style>
  <w:style w:type="character" w:styleId="UnresolvedMention">
    <w:name w:val="Unresolved Mention"/>
    <w:basedOn w:val="DefaultParagraphFont"/>
    <w:uiPriority w:val="99"/>
    <w:semiHidden/>
    <w:unhideWhenUsed/>
    <w:rsid w:val="00245FC3"/>
    <w:rPr>
      <w:color w:val="605E5C"/>
      <w:shd w:val="clear" w:color="auto" w:fill="E1DFDD"/>
    </w:rPr>
  </w:style>
  <w:style w:type="character" w:styleId="FollowedHyperlink">
    <w:name w:val="FollowedHyperlink"/>
    <w:basedOn w:val="DefaultParagraphFont"/>
    <w:uiPriority w:val="99"/>
    <w:semiHidden/>
    <w:unhideWhenUsed/>
    <w:rsid w:val="00245FC3"/>
    <w:rPr>
      <w:color w:val="96607D" w:themeColor="followedHyperlink"/>
      <w:u w:val="single"/>
    </w:rPr>
  </w:style>
  <w:style w:type="character" w:customStyle="1" w:styleId="Heading4Char">
    <w:name w:val="Heading 4 Char"/>
    <w:basedOn w:val="DefaultParagraphFont"/>
    <w:link w:val="Heading4"/>
    <w:uiPriority w:val="9"/>
    <w:semiHidden/>
    <w:rsid w:val="00245FC3"/>
    <w:rPr>
      <w:rFonts w:eastAsiaTheme="majorEastAsia" w:cstheme="majorBidi"/>
      <w:i/>
      <w:iCs/>
      <w:color w:val="0F4761" w:themeColor="accent1" w:themeShade="BF"/>
      <w:kern w:val="2"/>
      <w:lang w:eastAsia="en-GB"/>
      <w14:ligatures w14:val="standardContextual"/>
    </w:rPr>
  </w:style>
  <w:style w:type="character" w:customStyle="1" w:styleId="Heading5Char">
    <w:name w:val="Heading 5 Char"/>
    <w:basedOn w:val="DefaultParagraphFont"/>
    <w:link w:val="Heading5"/>
    <w:uiPriority w:val="9"/>
    <w:semiHidden/>
    <w:rsid w:val="00245FC3"/>
    <w:rPr>
      <w:rFonts w:eastAsiaTheme="majorEastAsia" w:cstheme="majorBidi"/>
      <w:color w:val="0F4761" w:themeColor="accent1" w:themeShade="BF"/>
      <w:kern w:val="2"/>
      <w:lang w:eastAsia="en-GB"/>
      <w14:ligatures w14:val="standardContextual"/>
    </w:rPr>
  </w:style>
  <w:style w:type="character" w:customStyle="1" w:styleId="Heading6Char">
    <w:name w:val="Heading 6 Char"/>
    <w:basedOn w:val="DefaultParagraphFont"/>
    <w:link w:val="Heading6"/>
    <w:uiPriority w:val="9"/>
    <w:semiHidden/>
    <w:rsid w:val="00245FC3"/>
    <w:rPr>
      <w:rFonts w:eastAsiaTheme="majorEastAsia" w:cstheme="majorBidi"/>
      <w:i/>
      <w:iCs/>
      <w:color w:val="595959" w:themeColor="text1" w:themeTint="A6"/>
      <w:kern w:val="2"/>
      <w:lang w:eastAsia="en-GB"/>
      <w14:ligatures w14:val="standardContextual"/>
    </w:rPr>
  </w:style>
  <w:style w:type="character" w:customStyle="1" w:styleId="Heading7Char">
    <w:name w:val="Heading 7 Char"/>
    <w:basedOn w:val="DefaultParagraphFont"/>
    <w:link w:val="Heading7"/>
    <w:uiPriority w:val="9"/>
    <w:semiHidden/>
    <w:rsid w:val="00245FC3"/>
    <w:rPr>
      <w:rFonts w:eastAsiaTheme="majorEastAsia" w:cstheme="majorBidi"/>
      <w:color w:val="595959" w:themeColor="text1" w:themeTint="A6"/>
      <w:kern w:val="2"/>
      <w:lang w:eastAsia="en-GB"/>
      <w14:ligatures w14:val="standardContextual"/>
    </w:rPr>
  </w:style>
  <w:style w:type="character" w:customStyle="1" w:styleId="Heading8Char">
    <w:name w:val="Heading 8 Char"/>
    <w:basedOn w:val="DefaultParagraphFont"/>
    <w:link w:val="Heading8"/>
    <w:uiPriority w:val="9"/>
    <w:semiHidden/>
    <w:rsid w:val="00245FC3"/>
    <w:rPr>
      <w:rFonts w:eastAsiaTheme="majorEastAsia" w:cstheme="majorBidi"/>
      <w:i/>
      <w:iCs/>
      <w:color w:val="272727" w:themeColor="text1" w:themeTint="D8"/>
      <w:kern w:val="2"/>
      <w:lang w:eastAsia="en-GB"/>
      <w14:ligatures w14:val="standardContextual"/>
    </w:rPr>
  </w:style>
  <w:style w:type="character" w:customStyle="1" w:styleId="Heading9Char">
    <w:name w:val="Heading 9 Char"/>
    <w:basedOn w:val="DefaultParagraphFont"/>
    <w:link w:val="Heading9"/>
    <w:uiPriority w:val="9"/>
    <w:semiHidden/>
    <w:rsid w:val="00245FC3"/>
    <w:rPr>
      <w:rFonts w:eastAsiaTheme="majorEastAsia" w:cstheme="majorBidi"/>
      <w:color w:val="272727" w:themeColor="text1" w:themeTint="D8"/>
      <w:kern w:val="2"/>
      <w:lang w:eastAsia="en-GB"/>
      <w14:ligatures w14:val="standardContextual"/>
    </w:rPr>
  </w:style>
  <w:style w:type="paragraph" w:styleId="Title">
    <w:name w:val="Title"/>
    <w:basedOn w:val="Normal"/>
    <w:next w:val="Normal"/>
    <w:link w:val="TitleChar"/>
    <w:uiPriority w:val="10"/>
    <w:qFormat/>
    <w:rsid w:val="00245FC3"/>
    <w:pPr>
      <w:spacing w:line="276" w:lineRule="auto"/>
      <w:jc w:val="center"/>
    </w:pPr>
    <w:rPr>
      <w:b/>
      <w:bCs/>
      <w:sz w:val="72"/>
      <w:szCs w:val="72"/>
    </w:rPr>
  </w:style>
  <w:style w:type="character" w:customStyle="1" w:styleId="TitleChar">
    <w:name w:val="Title Char"/>
    <w:basedOn w:val="DefaultParagraphFont"/>
    <w:link w:val="Title"/>
    <w:uiPriority w:val="10"/>
    <w:rsid w:val="00245FC3"/>
    <w:rPr>
      <w:rFonts w:eastAsiaTheme="minorHAnsi" w:cstheme="minorHAnsi"/>
      <w:b/>
      <w:bCs/>
      <w:kern w:val="2"/>
      <w:sz w:val="72"/>
      <w:szCs w:val="72"/>
      <w:lang w:eastAsia="en-GB"/>
      <w14:ligatures w14:val="standardContextual"/>
    </w:rPr>
  </w:style>
  <w:style w:type="paragraph" w:styleId="Subtitle">
    <w:name w:val="Subtitle"/>
    <w:basedOn w:val="Normal"/>
    <w:next w:val="Normal"/>
    <w:link w:val="SubtitleChar"/>
    <w:uiPriority w:val="11"/>
    <w:qFormat/>
    <w:rsid w:val="00245FC3"/>
    <w:pPr>
      <w:spacing w:line="276" w:lineRule="auto"/>
      <w:jc w:val="center"/>
    </w:pPr>
    <w:rPr>
      <w:sz w:val="56"/>
      <w:szCs w:val="56"/>
    </w:rPr>
  </w:style>
  <w:style w:type="character" w:customStyle="1" w:styleId="SubtitleChar">
    <w:name w:val="Subtitle Char"/>
    <w:basedOn w:val="DefaultParagraphFont"/>
    <w:link w:val="Subtitle"/>
    <w:uiPriority w:val="11"/>
    <w:rsid w:val="00245FC3"/>
    <w:rPr>
      <w:rFonts w:eastAsiaTheme="minorHAnsi" w:cstheme="minorHAnsi"/>
      <w:kern w:val="2"/>
      <w:sz w:val="56"/>
      <w:szCs w:val="56"/>
      <w:lang w:eastAsia="en-GB"/>
      <w14:ligatures w14:val="standardContextual"/>
    </w:rPr>
  </w:style>
  <w:style w:type="paragraph" w:styleId="Quote">
    <w:name w:val="Quote"/>
    <w:basedOn w:val="Normal"/>
    <w:next w:val="Normal"/>
    <w:link w:val="QuoteChar"/>
    <w:uiPriority w:val="29"/>
    <w:qFormat/>
    <w:rsid w:val="00245FC3"/>
    <w:pPr>
      <w:spacing w:before="160"/>
      <w:jc w:val="center"/>
    </w:pPr>
    <w:rPr>
      <w:i/>
      <w:iCs/>
      <w:color w:val="404040" w:themeColor="text1" w:themeTint="BF"/>
    </w:rPr>
  </w:style>
  <w:style w:type="character" w:customStyle="1" w:styleId="QuoteChar">
    <w:name w:val="Quote Char"/>
    <w:basedOn w:val="DefaultParagraphFont"/>
    <w:link w:val="Quote"/>
    <w:uiPriority w:val="29"/>
    <w:rsid w:val="00245FC3"/>
    <w:rPr>
      <w:rFonts w:eastAsiaTheme="minorHAnsi" w:cstheme="minorHAnsi"/>
      <w:i/>
      <w:iCs/>
      <w:color w:val="404040" w:themeColor="text1" w:themeTint="BF"/>
      <w:kern w:val="2"/>
      <w:lang w:eastAsia="en-GB"/>
      <w14:ligatures w14:val="standardContextual"/>
    </w:rPr>
  </w:style>
  <w:style w:type="character" w:styleId="IntenseEmphasis">
    <w:name w:val="Intense Emphasis"/>
    <w:basedOn w:val="DefaultParagraphFont"/>
    <w:uiPriority w:val="21"/>
    <w:qFormat/>
    <w:rsid w:val="00245FC3"/>
    <w:rPr>
      <w:i/>
      <w:iCs/>
      <w:color w:val="0F4761" w:themeColor="accent1" w:themeShade="BF"/>
    </w:rPr>
  </w:style>
  <w:style w:type="paragraph" w:styleId="IntenseQuote">
    <w:name w:val="Intense Quote"/>
    <w:basedOn w:val="Normal"/>
    <w:next w:val="Normal"/>
    <w:link w:val="IntenseQuoteChar"/>
    <w:uiPriority w:val="30"/>
    <w:qFormat/>
    <w:rsid w:val="00245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FC3"/>
    <w:rPr>
      <w:rFonts w:eastAsiaTheme="minorHAnsi" w:cstheme="minorHAnsi"/>
      <w:i/>
      <w:iCs/>
      <w:color w:val="0F4761" w:themeColor="accent1" w:themeShade="BF"/>
      <w:kern w:val="2"/>
      <w:lang w:eastAsia="en-GB"/>
      <w14:ligatures w14:val="standardContextual"/>
    </w:rPr>
  </w:style>
  <w:style w:type="character" w:styleId="IntenseReference">
    <w:name w:val="Intense Reference"/>
    <w:basedOn w:val="DefaultParagraphFont"/>
    <w:uiPriority w:val="32"/>
    <w:qFormat/>
    <w:rsid w:val="00245FC3"/>
    <w:rPr>
      <w:b/>
      <w:bCs/>
      <w:smallCaps/>
      <w:color w:val="0F4761" w:themeColor="accent1" w:themeShade="BF"/>
      <w:spacing w:val="5"/>
    </w:rPr>
  </w:style>
  <w:style w:type="character" w:styleId="PageNumber">
    <w:name w:val="page number"/>
    <w:basedOn w:val="DefaultParagraphFont"/>
    <w:uiPriority w:val="99"/>
    <w:semiHidden/>
    <w:unhideWhenUsed/>
    <w:rsid w:val="00245FC3"/>
  </w:style>
  <w:style w:type="paragraph" w:styleId="TOC1">
    <w:name w:val="toc 1"/>
    <w:basedOn w:val="Normal"/>
    <w:next w:val="Normal"/>
    <w:autoRedefine/>
    <w:uiPriority w:val="39"/>
    <w:unhideWhenUsed/>
    <w:rsid w:val="00245FC3"/>
    <w:pPr>
      <w:tabs>
        <w:tab w:val="left" w:pos="480"/>
        <w:tab w:val="right" w:pos="9016"/>
      </w:tabs>
      <w:spacing w:before="240" w:after="120"/>
    </w:pPr>
    <w:rPr>
      <w:b/>
      <w:bCs/>
      <w:szCs w:val="20"/>
    </w:rPr>
  </w:style>
  <w:style w:type="paragraph" w:styleId="TOC4">
    <w:name w:val="toc 4"/>
    <w:basedOn w:val="Normal"/>
    <w:next w:val="Normal"/>
    <w:autoRedefine/>
    <w:uiPriority w:val="39"/>
    <w:unhideWhenUsed/>
    <w:rsid w:val="00245FC3"/>
    <w:pPr>
      <w:spacing w:after="0"/>
      <w:ind w:left="720"/>
    </w:pPr>
    <w:rPr>
      <w:sz w:val="20"/>
      <w:szCs w:val="20"/>
    </w:rPr>
  </w:style>
  <w:style w:type="paragraph" w:styleId="TOC5">
    <w:name w:val="toc 5"/>
    <w:basedOn w:val="Normal"/>
    <w:next w:val="Normal"/>
    <w:autoRedefine/>
    <w:uiPriority w:val="39"/>
    <w:unhideWhenUsed/>
    <w:rsid w:val="00245FC3"/>
    <w:pPr>
      <w:spacing w:after="0"/>
      <w:ind w:left="960"/>
    </w:pPr>
    <w:rPr>
      <w:sz w:val="20"/>
      <w:szCs w:val="20"/>
    </w:rPr>
  </w:style>
  <w:style w:type="paragraph" w:styleId="TOC6">
    <w:name w:val="toc 6"/>
    <w:basedOn w:val="Normal"/>
    <w:next w:val="Normal"/>
    <w:autoRedefine/>
    <w:uiPriority w:val="39"/>
    <w:unhideWhenUsed/>
    <w:rsid w:val="00245FC3"/>
    <w:pPr>
      <w:spacing w:after="0"/>
      <w:ind w:left="1200"/>
    </w:pPr>
    <w:rPr>
      <w:sz w:val="20"/>
      <w:szCs w:val="20"/>
    </w:rPr>
  </w:style>
  <w:style w:type="paragraph" w:styleId="TOC7">
    <w:name w:val="toc 7"/>
    <w:basedOn w:val="Normal"/>
    <w:next w:val="Normal"/>
    <w:autoRedefine/>
    <w:uiPriority w:val="39"/>
    <w:unhideWhenUsed/>
    <w:rsid w:val="00245FC3"/>
    <w:pPr>
      <w:spacing w:after="0"/>
      <w:ind w:left="1440"/>
    </w:pPr>
    <w:rPr>
      <w:sz w:val="20"/>
      <w:szCs w:val="20"/>
    </w:rPr>
  </w:style>
  <w:style w:type="paragraph" w:styleId="TOC8">
    <w:name w:val="toc 8"/>
    <w:basedOn w:val="Normal"/>
    <w:next w:val="Normal"/>
    <w:autoRedefine/>
    <w:uiPriority w:val="39"/>
    <w:unhideWhenUsed/>
    <w:rsid w:val="00245FC3"/>
    <w:pPr>
      <w:spacing w:after="0"/>
      <w:ind w:left="1680"/>
    </w:pPr>
    <w:rPr>
      <w:sz w:val="20"/>
      <w:szCs w:val="20"/>
    </w:rPr>
  </w:style>
  <w:style w:type="paragraph" w:styleId="TOC9">
    <w:name w:val="toc 9"/>
    <w:basedOn w:val="Normal"/>
    <w:next w:val="Normal"/>
    <w:autoRedefine/>
    <w:uiPriority w:val="39"/>
    <w:unhideWhenUsed/>
    <w:rsid w:val="00245FC3"/>
    <w:pPr>
      <w:spacing w:after="0"/>
      <w:ind w:left="1920"/>
    </w:pPr>
    <w:rPr>
      <w:sz w:val="20"/>
      <w:szCs w:val="20"/>
    </w:rPr>
  </w:style>
  <w:style w:type="paragraph" w:styleId="Bibliography">
    <w:name w:val="Bibliography"/>
    <w:basedOn w:val="Normal"/>
    <w:next w:val="Normal"/>
    <w:uiPriority w:val="37"/>
    <w:unhideWhenUsed/>
    <w:rsid w:val="00245FC3"/>
    <w:pPr>
      <w:spacing w:after="240"/>
    </w:pPr>
  </w:style>
  <w:style w:type="character" w:styleId="CommentReference">
    <w:name w:val="annotation reference"/>
    <w:basedOn w:val="DefaultParagraphFont"/>
    <w:uiPriority w:val="99"/>
    <w:semiHidden/>
    <w:unhideWhenUsed/>
    <w:rsid w:val="00245FC3"/>
    <w:rPr>
      <w:sz w:val="16"/>
      <w:szCs w:val="16"/>
    </w:rPr>
  </w:style>
  <w:style w:type="paragraph" w:styleId="CommentText">
    <w:name w:val="annotation text"/>
    <w:basedOn w:val="Normal"/>
    <w:link w:val="CommentTextChar"/>
    <w:uiPriority w:val="99"/>
    <w:semiHidden/>
    <w:unhideWhenUsed/>
    <w:rsid w:val="00245FC3"/>
    <w:pPr>
      <w:spacing w:line="240" w:lineRule="auto"/>
    </w:pPr>
    <w:rPr>
      <w:sz w:val="20"/>
      <w:szCs w:val="20"/>
    </w:rPr>
  </w:style>
  <w:style w:type="character" w:customStyle="1" w:styleId="CommentTextChar">
    <w:name w:val="Comment Text Char"/>
    <w:basedOn w:val="DefaultParagraphFont"/>
    <w:link w:val="CommentText"/>
    <w:uiPriority w:val="99"/>
    <w:semiHidden/>
    <w:rsid w:val="00245FC3"/>
    <w:rPr>
      <w:rFonts w:eastAsiaTheme="minorHAnsi" w:cstheme="minorHAnsi"/>
      <w:kern w:val="2"/>
      <w:sz w:val="20"/>
      <w:szCs w:val="20"/>
      <w:lang w:eastAsia="en-GB"/>
      <w14:ligatures w14:val="standardContextual"/>
    </w:rPr>
  </w:style>
  <w:style w:type="paragraph" w:styleId="CommentSubject">
    <w:name w:val="annotation subject"/>
    <w:basedOn w:val="CommentText"/>
    <w:next w:val="CommentText"/>
    <w:link w:val="CommentSubjectChar"/>
    <w:uiPriority w:val="99"/>
    <w:semiHidden/>
    <w:unhideWhenUsed/>
    <w:rsid w:val="00245FC3"/>
    <w:rPr>
      <w:b/>
      <w:bCs/>
    </w:rPr>
  </w:style>
  <w:style w:type="character" w:customStyle="1" w:styleId="CommentSubjectChar">
    <w:name w:val="Comment Subject Char"/>
    <w:basedOn w:val="CommentTextChar"/>
    <w:link w:val="CommentSubject"/>
    <w:uiPriority w:val="99"/>
    <w:semiHidden/>
    <w:rsid w:val="00245FC3"/>
    <w:rPr>
      <w:rFonts w:eastAsiaTheme="minorHAnsi" w:cstheme="minorHAnsi"/>
      <w:b/>
      <w:bCs/>
      <w:kern w:val="2"/>
      <w:sz w:val="20"/>
      <w:szCs w:val="20"/>
      <w:lang w:eastAsia="en-GB"/>
      <w14:ligatures w14:val="standardContextual"/>
    </w:rPr>
  </w:style>
  <w:style w:type="character" w:customStyle="1" w:styleId="HeaderChar">
    <w:name w:val="Header Char"/>
    <w:basedOn w:val="DefaultParagraphFont"/>
    <w:link w:val="Header"/>
    <w:uiPriority w:val="99"/>
    <w:rsid w:val="00245FC3"/>
    <w:rPr>
      <w:rFonts w:eastAsiaTheme="minorHAnsi" w:cstheme="minorHAnsi"/>
      <w:kern w:val="2"/>
      <w:lang w:eastAsia="en-GB"/>
      <w14:ligatures w14:val="standardContextual"/>
    </w:rPr>
  </w:style>
  <w:style w:type="paragraph" w:customStyle="1" w:styleId="p1">
    <w:name w:val="p1"/>
    <w:basedOn w:val="Normal"/>
    <w:rsid w:val="00245FC3"/>
    <w:pPr>
      <w:spacing w:after="0" w:line="240" w:lineRule="auto"/>
    </w:pPr>
    <w:rPr>
      <w:rFonts w:ascii="Helvetica" w:eastAsia="Times New Roman" w:hAnsi="Helvetica" w:cs="Times New Roman"/>
      <w:color w:val="141413"/>
      <w:kern w:val="0"/>
      <w:sz w:val="15"/>
      <w:szCs w:val="15"/>
      <w14:ligatures w14:val="none"/>
    </w:rPr>
  </w:style>
  <w:style w:type="paragraph" w:customStyle="1" w:styleId="Style1">
    <w:name w:val="Style1"/>
    <w:basedOn w:val="Heading2"/>
    <w:qFormat/>
    <w:rsid w:val="00245FC3"/>
    <w:pPr>
      <w:spacing w:line="360" w:lineRule="auto"/>
    </w:pPr>
  </w:style>
  <w:style w:type="numbering" w:customStyle="1" w:styleId="CurrentList1">
    <w:name w:val="Current List1"/>
    <w:uiPriority w:val="99"/>
    <w:rsid w:val="00245FC3"/>
    <w:pPr>
      <w:numPr>
        <w:numId w:val="20"/>
      </w:numPr>
    </w:pPr>
  </w:style>
  <w:style w:type="paragraph" w:styleId="NormalWeb">
    <w:name w:val="Normal (Web)"/>
    <w:basedOn w:val="Normal"/>
    <w:uiPriority w:val="99"/>
    <w:semiHidden/>
    <w:unhideWhenUsed/>
    <w:rsid w:val="00245FC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245FC3"/>
    <w:rPr>
      <w:i/>
      <w:iCs/>
    </w:rPr>
  </w:style>
  <w:style w:type="character" w:customStyle="1" w:styleId="apple-converted-space">
    <w:name w:val="apple-converted-space"/>
    <w:basedOn w:val="DefaultParagraphFont"/>
    <w:rsid w:val="00245FC3"/>
  </w:style>
  <w:style w:type="paragraph" w:styleId="Revision">
    <w:name w:val="Revision"/>
    <w:hidden/>
    <w:uiPriority w:val="99"/>
    <w:semiHidden/>
    <w:rsid w:val="00245FC3"/>
    <w:pPr>
      <w:spacing w:after="0" w:line="240" w:lineRule="auto"/>
    </w:pPr>
    <w:rPr>
      <w:rFonts w:eastAsiaTheme="minorHAnsi" w:cstheme="minorHAnsi"/>
      <w:kern w:val="2"/>
      <w:lang w:eastAsia="en-GB"/>
      <w14:ligatures w14:val="standardContextual"/>
    </w:rPr>
  </w:style>
  <w:style w:type="character" w:customStyle="1" w:styleId="s1">
    <w:name w:val="s1"/>
    <w:basedOn w:val="DefaultParagraphFont"/>
    <w:rsid w:val="00245FC3"/>
    <w:rPr>
      <w:rFonts w:ascii="Times" w:hAnsi="Times" w:hint="default"/>
      <w:sz w:val="14"/>
      <w:szCs w:val="14"/>
    </w:rPr>
  </w:style>
  <w:style w:type="character" w:customStyle="1" w:styleId="s2">
    <w:name w:val="s2"/>
    <w:basedOn w:val="DefaultParagraphFont"/>
    <w:rsid w:val="00245FC3"/>
    <w:rPr>
      <w:rFonts w:ascii="Times" w:hAnsi="Times"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80/09589236.2023.2260318" TargetMode="External"/><Relationship Id="rId18" Type="http://schemas.openxmlformats.org/officeDocument/2006/relationships/hyperlink" Target="https://learn2.open.ac.uk/mod/oucontent/view.php?id=2462926&amp;section=6.2" TargetMode="External"/><Relationship Id="rId26" Type="http://schemas.openxmlformats.org/officeDocument/2006/relationships/hyperlink" Target="https://www.bbc.co.uk/news/articles/c0egyyq1z47o" TargetMode="External"/><Relationship Id="rId3" Type="http://schemas.openxmlformats.org/officeDocument/2006/relationships/settings" Target="settings.xml"/><Relationship Id="rId21" Type="http://schemas.openxmlformats.org/officeDocument/2006/relationships/hyperlink" Target="https://doi.org/10.1177/17499755241307414" TargetMode="External"/><Relationship Id="rId7" Type="http://schemas.openxmlformats.org/officeDocument/2006/relationships/header" Target="header1.xml"/><Relationship Id="rId12" Type="http://schemas.openxmlformats.org/officeDocument/2006/relationships/hyperlink" Target="https://www.dcu.ie/sites/default/files/advanced_processing_technology_editor/2025-12/1.-recommending-toxicity_the-role-of-algorithmic-recommender-functions-on-youtube-shorts-and-tiktok-in-promoting-male-supremacist-influencers-2.pdf?utm_source=chatgpt.com" TargetMode="External"/><Relationship Id="rId17" Type="http://schemas.openxmlformats.org/officeDocument/2006/relationships/hyperlink" Target="https://www.youtube.com/watch?v=k_BC99MjSqk&amp;t=491s" TargetMode="External"/><Relationship Id="rId25" Type="http://schemas.openxmlformats.org/officeDocument/2006/relationships/hyperlink" Target="https://docs.un.org/en/A/79/500" TargetMode="External"/><Relationship Id="rId2" Type="http://schemas.openxmlformats.org/officeDocument/2006/relationships/styles" Target="styles.xml"/><Relationship Id="rId16" Type="http://schemas.openxmlformats.org/officeDocument/2006/relationships/hyperlink" Target="https://doi.org/10.1177/20563051241228811" TargetMode="External"/><Relationship Id="rId20" Type="http://schemas.openxmlformats.org/officeDocument/2006/relationships/hyperlink" Target="https://www.ofcom.org.uk/siteassets/resources/documents/online-safety/research-statistics-and-data/protecting-children/experiences-of-engaging-with-the-manosphere.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adline.com/2025/05/read-adolescence-episode-3-script-1236399790/?utm_source=chatgpt.com" TargetMode="External"/><Relationship Id="rId24" Type="http://schemas.openxmlformats.org/officeDocument/2006/relationships/hyperlink" Target="https://journals.sagepub.com/doi/epub/10.1177/20563051251313844" TargetMode="External"/><Relationship Id="rId5" Type="http://schemas.openxmlformats.org/officeDocument/2006/relationships/footnotes" Target="footnotes.xml"/><Relationship Id="rId15" Type="http://schemas.openxmlformats.org/officeDocument/2006/relationships/hyperlink" Target="https://journals.sagepub.com/doi/epub/10.1177/1097184X17706401" TargetMode="External"/><Relationship Id="rId23" Type="http://schemas.openxmlformats.org/officeDocument/2006/relationships/hyperlink" Target="https://www.theguardian.com/uk-news/2025/mar/06/kyle-clifford-watched-andrew-tate-videos-before-triple?utm_source=chatgpt.com" TargetMode="External"/><Relationship Id="rId28" Type="http://schemas.openxmlformats.org/officeDocument/2006/relationships/theme" Target="theme/theme1.xml"/><Relationship Id="rId10" Type="http://schemas.openxmlformats.org/officeDocument/2006/relationships/hyperlink" Target="https://www.amnesty.org.uk/latest/toxic-tech-new-polling-exposes-widespread-online-misogyny-driving-gen-z-away-social/?utm_source=chatgpt.com" TargetMode="External"/><Relationship Id="rId19" Type="http://schemas.openxmlformats.org/officeDocument/2006/relationships/hyperlink" Target="https://about.netflix.com/en/news/netflix-makes-adolescence-available-to-all-secondary-schools-across-the-uk?utm_source=chatgpt.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escholarship.org/uc/item/2qh1p7nn" TargetMode="External"/><Relationship Id="rId22" Type="http://schemas.openxmlformats.org/officeDocument/2006/relationships/hyperlink" Target="https://www.radiotimes.com/tv/drama/adolescence-release-date-netflix/?utm_source=chatgpt.com"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l2538\Work%20Folders\Documents\Custom%20Office%20Templates\Final_%20Luella%20Baddeley%20D328%20Dissertation%20-%2022%20Septemb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Final_ Luella Baddeley D328 Dissertation - 22 September.dotx</Template>
  <TotalTime>5</TotalTime>
  <Pages>1</Pages>
  <Words>8713</Words>
  <Characters>49232</Characters>
  <Application>Microsoft Office Word</Application>
  <DocSecurity>0</DocSecurity>
  <Lines>757</Lines>
  <Paragraphs>117</Paragraphs>
  <ScaleCrop>false</ScaleCrop>
  <Company/>
  <LinksUpToDate>false</LinksUpToDate>
  <CharactersWithSpaces>57828</CharactersWithSpaces>
  <SharedDoc>false</SharedDoc>
  <HLinks>
    <vt:vector size="168" baseType="variant">
      <vt:variant>
        <vt:i4>6225942</vt:i4>
      </vt:variant>
      <vt:variant>
        <vt:i4>117</vt:i4>
      </vt:variant>
      <vt:variant>
        <vt:i4>0</vt:i4>
      </vt:variant>
      <vt:variant>
        <vt:i4>5</vt:i4>
      </vt:variant>
      <vt:variant>
        <vt:lpwstr>https://www.bbc.co.uk/news/articles/c0egyyq1z47o</vt:lpwstr>
      </vt:variant>
      <vt:variant>
        <vt:lpwstr/>
      </vt:variant>
      <vt:variant>
        <vt:i4>2883686</vt:i4>
      </vt:variant>
      <vt:variant>
        <vt:i4>114</vt:i4>
      </vt:variant>
      <vt:variant>
        <vt:i4>0</vt:i4>
      </vt:variant>
      <vt:variant>
        <vt:i4>5</vt:i4>
      </vt:variant>
      <vt:variant>
        <vt:lpwstr>https://docs.un.org/en/A/79/500</vt:lpwstr>
      </vt:variant>
      <vt:variant>
        <vt:lpwstr/>
      </vt:variant>
      <vt:variant>
        <vt:i4>3866668</vt:i4>
      </vt:variant>
      <vt:variant>
        <vt:i4>111</vt:i4>
      </vt:variant>
      <vt:variant>
        <vt:i4>0</vt:i4>
      </vt:variant>
      <vt:variant>
        <vt:i4>5</vt:i4>
      </vt:variant>
      <vt:variant>
        <vt:lpwstr>https://journals.sagepub.com/doi/epub/10.1177/20563051251313844</vt:lpwstr>
      </vt:variant>
      <vt:variant>
        <vt:lpwstr/>
      </vt:variant>
      <vt:variant>
        <vt:i4>1572987</vt:i4>
      </vt:variant>
      <vt:variant>
        <vt:i4>108</vt:i4>
      </vt:variant>
      <vt:variant>
        <vt:i4>0</vt:i4>
      </vt:variant>
      <vt:variant>
        <vt:i4>5</vt:i4>
      </vt:variant>
      <vt:variant>
        <vt:lpwstr>https://www.theguardian.com/uk-news/2025/mar/06/kyle-clifford-watched-andrew-tate-videos-before-triple?utm_source=chatgpt.com</vt:lpwstr>
      </vt:variant>
      <vt:variant>
        <vt:lpwstr/>
      </vt:variant>
      <vt:variant>
        <vt:i4>3670085</vt:i4>
      </vt:variant>
      <vt:variant>
        <vt:i4>105</vt:i4>
      </vt:variant>
      <vt:variant>
        <vt:i4>0</vt:i4>
      </vt:variant>
      <vt:variant>
        <vt:i4>5</vt:i4>
      </vt:variant>
      <vt:variant>
        <vt:lpwstr>https://www.radiotimes.com/tv/drama/adolescence-release-date-netflix/?utm_source=chatgpt.com</vt:lpwstr>
      </vt:variant>
      <vt:variant>
        <vt:lpwstr/>
      </vt:variant>
      <vt:variant>
        <vt:i4>1638482</vt:i4>
      </vt:variant>
      <vt:variant>
        <vt:i4>102</vt:i4>
      </vt:variant>
      <vt:variant>
        <vt:i4>0</vt:i4>
      </vt:variant>
      <vt:variant>
        <vt:i4>5</vt:i4>
      </vt:variant>
      <vt:variant>
        <vt:lpwstr>https://doi.org/10.1177/17499755241307414</vt:lpwstr>
      </vt:variant>
      <vt:variant>
        <vt:lpwstr/>
      </vt:variant>
      <vt:variant>
        <vt:i4>3342372</vt:i4>
      </vt:variant>
      <vt:variant>
        <vt:i4>99</vt:i4>
      </vt:variant>
      <vt:variant>
        <vt:i4>0</vt:i4>
      </vt:variant>
      <vt:variant>
        <vt:i4>5</vt:i4>
      </vt:variant>
      <vt:variant>
        <vt:lpwstr>https://www.ofcom.org.uk/siteassets/resources/documents/online-safety/research-statistics-and-data/protecting-children/experiences-of-engaging-with-the-manosphere.pdf</vt:lpwstr>
      </vt:variant>
      <vt:variant>
        <vt:lpwstr/>
      </vt:variant>
      <vt:variant>
        <vt:i4>7864340</vt:i4>
      </vt:variant>
      <vt:variant>
        <vt:i4>96</vt:i4>
      </vt:variant>
      <vt:variant>
        <vt:i4>0</vt:i4>
      </vt:variant>
      <vt:variant>
        <vt:i4>5</vt:i4>
      </vt:variant>
      <vt:variant>
        <vt:lpwstr>https://about.netflix.com/en/news/netflix-makes-adolescence-available-to-all-secondary-schools-across-the-uk?utm_source=chatgpt.com</vt:lpwstr>
      </vt:variant>
      <vt:variant>
        <vt:lpwstr/>
      </vt:variant>
      <vt:variant>
        <vt:i4>7536745</vt:i4>
      </vt:variant>
      <vt:variant>
        <vt:i4>93</vt:i4>
      </vt:variant>
      <vt:variant>
        <vt:i4>0</vt:i4>
      </vt:variant>
      <vt:variant>
        <vt:i4>5</vt:i4>
      </vt:variant>
      <vt:variant>
        <vt:lpwstr>https://learn2.open.ac.uk/mod/oucontent/view.php?id=2462926&amp;section=6.2</vt:lpwstr>
      </vt:variant>
      <vt:variant>
        <vt:lpwstr/>
      </vt:variant>
      <vt:variant>
        <vt:i4>1048699</vt:i4>
      </vt:variant>
      <vt:variant>
        <vt:i4>90</vt:i4>
      </vt:variant>
      <vt:variant>
        <vt:i4>0</vt:i4>
      </vt:variant>
      <vt:variant>
        <vt:i4>5</vt:i4>
      </vt:variant>
      <vt:variant>
        <vt:lpwstr>https://www.youtube.com/watch?v=k_BC99MjSqk&amp;t=491s</vt:lpwstr>
      </vt:variant>
      <vt:variant>
        <vt:lpwstr/>
      </vt:variant>
      <vt:variant>
        <vt:i4>1835092</vt:i4>
      </vt:variant>
      <vt:variant>
        <vt:i4>87</vt:i4>
      </vt:variant>
      <vt:variant>
        <vt:i4>0</vt:i4>
      </vt:variant>
      <vt:variant>
        <vt:i4>5</vt:i4>
      </vt:variant>
      <vt:variant>
        <vt:lpwstr>https://doi.org/10.1177/20563051241228811</vt:lpwstr>
      </vt:variant>
      <vt:variant>
        <vt:lpwstr/>
      </vt:variant>
      <vt:variant>
        <vt:i4>7864362</vt:i4>
      </vt:variant>
      <vt:variant>
        <vt:i4>84</vt:i4>
      </vt:variant>
      <vt:variant>
        <vt:i4>0</vt:i4>
      </vt:variant>
      <vt:variant>
        <vt:i4>5</vt:i4>
      </vt:variant>
      <vt:variant>
        <vt:lpwstr>https://journals.sagepub.com/doi/epub/10.1177/1097184X17706401</vt:lpwstr>
      </vt:variant>
      <vt:variant>
        <vt:lpwstr/>
      </vt:variant>
      <vt:variant>
        <vt:i4>196630</vt:i4>
      </vt:variant>
      <vt:variant>
        <vt:i4>81</vt:i4>
      </vt:variant>
      <vt:variant>
        <vt:i4>0</vt:i4>
      </vt:variant>
      <vt:variant>
        <vt:i4>5</vt:i4>
      </vt:variant>
      <vt:variant>
        <vt:lpwstr>https://escholarship.org/uc/item/2qh1p7nn</vt:lpwstr>
      </vt:variant>
      <vt:variant>
        <vt:lpwstr/>
      </vt:variant>
      <vt:variant>
        <vt:i4>196687</vt:i4>
      </vt:variant>
      <vt:variant>
        <vt:i4>78</vt:i4>
      </vt:variant>
      <vt:variant>
        <vt:i4>0</vt:i4>
      </vt:variant>
      <vt:variant>
        <vt:i4>5</vt:i4>
      </vt:variant>
      <vt:variant>
        <vt:lpwstr>https://doi.org/10.1080/09589236.2023.2260318</vt:lpwstr>
      </vt:variant>
      <vt:variant>
        <vt:lpwstr/>
      </vt:variant>
      <vt:variant>
        <vt:i4>4390953</vt:i4>
      </vt:variant>
      <vt:variant>
        <vt:i4>75</vt:i4>
      </vt:variant>
      <vt:variant>
        <vt:i4>0</vt:i4>
      </vt:variant>
      <vt:variant>
        <vt:i4>5</vt:i4>
      </vt:variant>
      <vt:variant>
        <vt:lpwstr>https://www.dcu.ie/sites/default/files/advanced_processing_technology_editor/2025-12/1.-recommending-toxicity_the-role-of-algorithmic-recommender-functions-on-youtube-shorts-and-tiktok-in-promoting-male-supremacist-influencers-2.pdf?utm_source=chatgpt.com</vt:lpwstr>
      </vt:variant>
      <vt:variant>
        <vt:lpwstr/>
      </vt:variant>
      <vt:variant>
        <vt:i4>786556</vt:i4>
      </vt:variant>
      <vt:variant>
        <vt:i4>72</vt:i4>
      </vt:variant>
      <vt:variant>
        <vt:i4>0</vt:i4>
      </vt:variant>
      <vt:variant>
        <vt:i4>5</vt:i4>
      </vt:variant>
      <vt:variant>
        <vt:lpwstr>https://deadline.com/2025/05/read-adolescence-episode-3-script-1236399790/?utm_source=chatgpt.com</vt:lpwstr>
      </vt:variant>
      <vt:variant>
        <vt:lpwstr/>
      </vt:variant>
      <vt:variant>
        <vt:i4>4718711</vt:i4>
      </vt:variant>
      <vt:variant>
        <vt:i4>69</vt:i4>
      </vt:variant>
      <vt:variant>
        <vt:i4>0</vt:i4>
      </vt:variant>
      <vt:variant>
        <vt:i4>5</vt:i4>
      </vt:variant>
      <vt:variant>
        <vt:lpwstr>https://www.amnesty.org.uk/latest/toxic-tech-new-polling-exposes-widespread-online-misogyny-driving-gen-z-away-social/?utm_source=chatgpt.com</vt:lpwstr>
      </vt:variant>
      <vt:variant>
        <vt:lpwstr/>
      </vt:variant>
      <vt:variant>
        <vt:i4>1966130</vt:i4>
      </vt:variant>
      <vt:variant>
        <vt:i4>62</vt:i4>
      </vt:variant>
      <vt:variant>
        <vt:i4>0</vt:i4>
      </vt:variant>
      <vt:variant>
        <vt:i4>5</vt:i4>
      </vt:variant>
      <vt:variant>
        <vt:lpwstr/>
      </vt:variant>
      <vt:variant>
        <vt:lpwstr>_Toc230802008</vt:lpwstr>
      </vt:variant>
      <vt:variant>
        <vt:i4>1966130</vt:i4>
      </vt:variant>
      <vt:variant>
        <vt:i4>56</vt:i4>
      </vt:variant>
      <vt:variant>
        <vt:i4>0</vt:i4>
      </vt:variant>
      <vt:variant>
        <vt:i4>5</vt:i4>
      </vt:variant>
      <vt:variant>
        <vt:lpwstr/>
      </vt:variant>
      <vt:variant>
        <vt:lpwstr>_Toc230802007</vt:lpwstr>
      </vt:variant>
      <vt:variant>
        <vt:i4>1966130</vt:i4>
      </vt:variant>
      <vt:variant>
        <vt:i4>50</vt:i4>
      </vt:variant>
      <vt:variant>
        <vt:i4>0</vt:i4>
      </vt:variant>
      <vt:variant>
        <vt:i4>5</vt:i4>
      </vt:variant>
      <vt:variant>
        <vt:lpwstr/>
      </vt:variant>
      <vt:variant>
        <vt:lpwstr>_Toc230802006</vt:lpwstr>
      </vt:variant>
      <vt:variant>
        <vt:i4>1966130</vt:i4>
      </vt:variant>
      <vt:variant>
        <vt:i4>44</vt:i4>
      </vt:variant>
      <vt:variant>
        <vt:i4>0</vt:i4>
      </vt:variant>
      <vt:variant>
        <vt:i4>5</vt:i4>
      </vt:variant>
      <vt:variant>
        <vt:lpwstr/>
      </vt:variant>
      <vt:variant>
        <vt:lpwstr>_Toc230802005</vt:lpwstr>
      </vt:variant>
      <vt:variant>
        <vt:i4>1966130</vt:i4>
      </vt:variant>
      <vt:variant>
        <vt:i4>38</vt:i4>
      </vt:variant>
      <vt:variant>
        <vt:i4>0</vt:i4>
      </vt:variant>
      <vt:variant>
        <vt:i4>5</vt:i4>
      </vt:variant>
      <vt:variant>
        <vt:lpwstr/>
      </vt:variant>
      <vt:variant>
        <vt:lpwstr>_Toc230802004</vt:lpwstr>
      </vt:variant>
      <vt:variant>
        <vt:i4>1966130</vt:i4>
      </vt:variant>
      <vt:variant>
        <vt:i4>32</vt:i4>
      </vt:variant>
      <vt:variant>
        <vt:i4>0</vt:i4>
      </vt:variant>
      <vt:variant>
        <vt:i4>5</vt:i4>
      </vt:variant>
      <vt:variant>
        <vt:lpwstr/>
      </vt:variant>
      <vt:variant>
        <vt:lpwstr>_Toc230802003</vt:lpwstr>
      </vt:variant>
      <vt:variant>
        <vt:i4>1966130</vt:i4>
      </vt:variant>
      <vt:variant>
        <vt:i4>26</vt:i4>
      </vt:variant>
      <vt:variant>
        <vt:i4>0</vt:i4>
      </vt:variant>
      <vt:variant>
        <vt:i4>5</vt:i4>
      </vt:variant>
      <vt:variant>
        <vt:lpwstr/>
      </vt:variant>
      <vt:variant>
        <vt:lpwstr>_Toc230802002</vt:lpwstr>
      </vt:variant>
      <vt:variant>
        <vt:i4>1966130</vt:i4>
      </vt:variant>
      <vt:variant>
        <vt:i4>20</vt:i4>
      </vt:variant>
      <vt:variant>
        <vt:i4>0</vt:i4>
      </vt:variant>
      <vt:variant>
        <vt:i4>5</vt:i4>
      </vt:variant>
      <vt:variant>
        <vt:lpwstr/>
      </vt:variant>
      <vt:variant>
        <vt:lpwstr>_Toc230802001</vt:lpwstr>
      </vt:variant>
      <vt:variant>
        <vt:i4>1966130</vt:i4>
      </vt:variant>
      <vt:variant>
        <vt:i4>14</vt:i4>
      </vt:variant>
      <vt:variant>
        <vt:i4>0</vt:i4>
      </vt:variant>
      <vt:variant>
        <vt:i4>5</vt:i4>
      </vt:variant>
      <vt:variant>
        <vt:lpwstr/>
      </vt:variant>
      <vt:variant>
        <vt:lpwstr>_Toc230802000</vt:lpwstr>
      </vt:variant>
      <vt:variant>
        <vt:i4>1310779</vt:i4>
      </vt:variant>
      <vt:variant>
        <vt:i4>8</vt:i4>
      </vt:variant>
      <vt:variant>
        <vt:i4>0</vt:i4>
      </vt:variant>
      <vt:variant>
        <vt:i4>5</vt:i4>
      </vt:variant>
      <vt:variant>
        <vt:lpwstr/>
      </vt:variant>
      <vt:variant>
        <vt:lpwstr>_Toc230801999</vt:lpwstr>
      </vt:variant>
      <vt:variant>
        <vt:i4>1310779</vt:i4>
      </vt:variant>
      <vt:variant>
        <vt:i4>2</vt:i4>
      </vt:variant>
      <vt:variant>
        <vt:i4>0</vt:i4>
      </vt:variant>
      <vt:variant>
        <vt:i4>5</vt:i4>
      </vt:variant>
      <vt:variant>
        <vt:lpwstr/>
      </vt:variant>
      <vt:variant>
        <vt:lpwstr>_Toc230801998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Wolstenholme (Student)</dc:creator>
  <cp:keywords/>
  <dc:description/>
  <cp:lastModifiedBy>Ning.Li</cp:lastModifiedBy>
  <cp:revision>6</cp:revision>
  <dcterms:created xsi:type="dcterms:W3CDTF">2026-05-28T10:25:00Z</dcterms:created>
  <dcterms:modified xsi:type="dcterms:W3CDTF">2026-10-01T15:01:00Z</dcterms:modified>
</cp:coreProperties>
</file>